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CCE" w:rsidRPr="00AB7252" w:rsidRDefault="002A72CC" w:rsidP="00AB7252">
      <w:pPr>
        <w:spacing w:after="100"/>
        <w:jc w:val="right"/>
        <w:rPr>
          <w:rFonts w:ascii="Arial" w:hAnsi="Arial" w:cs="Arial"/>
          <w:sz w:val="24"/>
          <w:szCs w:val="24"/>
        </w:rPr>
      </w:pPr>
      <w:bookmarkStart w:id="0" w:name="_GoBack"/>
      <w:bookmarkEnd w:id="0"/>
      <w:r w:rsidRPr="00AB7252">
        <w:rPr>
          <w:rFonts w:ascii="Arial" w:hAnsi="Arial" w:cs="Arial"/>
          <w:sz w:val="24"/>
          <w:szCs w:val="24"/>
        </w:rPr>
        <w:t>Załącznik nr 2 do umowy nr ………………..</w:t>
      </w:r>
    </w:p>
    <w:p w:rsidR="002A72CC" w:rsidRPr="00AB7252" w:rsidRDefault="002A72CC" w:rsidP="00AB7252">
      <w:pPr>
        <w:spacing w:after="100"/>
        <w:jc w:val="center"/>
        <w:rPr>
          <w:rFonts w:ascii="Arial" w:hAnsi="Arial" w:cs="Arial"/>
          <w:sz w:val="24"/>
          <w:szCs w:val="24"/>
        </w:rPr>
      </w:pPr>
    </w:p>
    <w:p w:rsidR="002A72CC" w:rsidRPr="00AB7252" w:rsidRDefault="002A72CC" w:rsidP="00AB7252">
      <w:pPr>
        <w:spacing w:after="100"/>
        <w:jc w:val="center"/>
        <w:rPr>
          <w:rFonts w:ascii="Arial" w:hAnsi="Arial" w:cs="Arial"/>
          <w:sz w:val="24"/>
          <w:szCs w:val="24"/>
        </w:rPr>
      </w:pPr>
    </w:p>
    <w:p w:rsidR="002A72CC" w:rsidRPr="00AB7252" w:rsidRDefault="002A72CC" w:rsidP="00AB7252">
      <w:pPr>
        <w:spacing w:after="100"/>
        <w:jc w:val="center"/>
        <w:rPr>
          <w:rFonts w:ascii="Arial" w:hAnsi="Arial" w:cs="Arial"/>
          <w:b/>
          <w:sz w:val="24"/>
          <w:szCs w:val="24"/>
        </w:rPr>
      </w:pPr>
      <w:r w:rsidRPr="00AB7252">
        <w:rPr>
          <w:rFonts w:ascii="Arial" w:hAnsi="Arial" w:cs="Arial"/>
          <w:b/>
          <w:sz w:val="24"/>
          <w:szCs w:val="24"/>
        </w:rPr>
        <w:t>OPIS PRZEDMIOTU ZAMÓWIENIA</w:t>
      </w:r>
    </w:p>
    <w:p w:rsidR="002A72CC" w:rsidRPr="00AB7252" w:rsidRDefault="002A72CC" w:rsidP="00AB7252">
      <w:pPr>
        <w:spacing w:after="100"/>
        <w:jc w:val="both"/>
        <w:rPr>
          <w:rFonts w:ascii="Arial" w:hAnsi="Arial" w:cs="Arial"/>
          <w:sz w:val="24"/>
          <w:szCs w:val="24"/>
        </w:rPr>
      </w:pPr>
    </w:p>
    <w:p w:rsidR="002A72CC" w:rsidRPr="00AB7252" w:rsidRDefault="002A72CC" w:rsidP="004D4AEF">
      <w:pPr>
        <w:spacing w:after="100"/>
        <w:rPr>
          <w:rFonts w:ascii="Arial" w:hAnsi="Arial" w:cs="Arial"/>
          <w:sz w:val="24"/>
          <w:szCs w:val="24"/>
        </w:rPr>
      </w:pPr>
      <w:r w:rsidRPr="00AB7252">
        <w:rPr>
          <w:rFonts w:ascii="Arial" w:hAnsi="Arial" w:cs="Arial"/>
          <w:sz w:val="24"/>
          <w:szCs w:val="24"/>
        </w:rPr>
        <w:t>Wd</w:t>
      </w:r>
      <w:r w:rsidR="00EE75BC" w:rsidRPr="00AB7252">
        <w:rPr>
          <w:rFonts w:ascii="Arial" w:hAnsi="Arial" w:cs="Arial"/>
          <w:sz w:val="24"/>
          <w:szCs w:val="24"/>
        </w:rPr>
        <w:t xml:space="preserve">rożenie oprogramowania e-Nadzór </w:t>
      </w:r>
      <w:r w:rsidR="00344EC1" w:rsidRPr="00AB7252">
        <w:rPr>
          <w:rFonts w:ascii="Arial" w:hAnsi="Arial" w:cs="Arial"/>
          <w:sz w:val="24"/>
          <w:szCs w:val="24"/>
        </w:rPr>
        <w:t>spełniającego wymagania i posiadającego funkcjonalności opisane poniżej oraz jego integracja z systemem Zamawiającego EZD PUW.</w:t>
      </w:r>
      <w:r w:rsidR="00D3795A" w:rsidRPr="00AB7252">
        <w:rPr>
          <w:rFonts w:ascii="Arial" w:hAnsi="Arial" w:cs="Arial"/>
          <w:sz w:val="24"/>
          <w:szCs w:val="24"/>
        </w:rPr>
        <w:t xml:space="preserve"> </w:t>
      </w:r>
    </w:p>
    <w:p w:rsidR="00EE75BC" w:rsidRPr="00AB7252" w:rsidRDefault="00EE75BC" w:rsidP="004D4AEF">
      <w:pPr>
        <w:spacing w:after="100"/>
        <w:rPr>
          <w:rFonts w:ascii="Arial" w:hAnsi="Arial" w:cs="Arial"/>
          <w:sz w:val="24"/>
          <w:szCs w:val="24"/>
        </w:rPr>
      </w:pPr>
    </w:p>
    <w:p w:rsidR="00EE75BC"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Zestawienie funkcjonalności merytorycznych</w:t>
      </w:r>
      <w:r w:rsidR="00EE75BC" w:rsidRPr="00AB7252">
        <w:rPr>
          <w:rFonts w:ascii="Arial" w:hAnsi="Arial" w:cs="Arial"/>
          <w:b/>
          <w:sz w:val="24"/>
          <w:szCs w:val="24"/>
        </w:rPr>
        <w:t>:</w:t>
      </w:r>
      <w:r w:rsidRPr="00AB7252">
        <w:rPr>
          <w:rFonts w:ascii="Arial" w:hAnsi="Arial" w:cs="Arial"/>
          <w:b/>
          <w:sz w:val="24"/>
          <w:szCs w:val="24"/>
        </w:rPr>
        <w:t xml:space="preserve"> </w:t>
      </w:r>
    </w:p>
    <w:p w:rsidR="00344EC1"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Obsługa wszystkich rodzajów aktów przekazywanych w trybie nadzoru do Wojewody: </w:t>
      </w:r>
    </w:p>
    <w:p w:rsidR="00EE75BC"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 xml:space="preserve">akty przekazywane w formie elektronicznej przez </w:t>
      </w:r>
      <w:proofErr w:type="spellStart"/>
      <w:r w:rsidRPr="00AB7252">
        <w:rPr>
          <w:rFonts w:ascii="Arial" w:hAnsi="Arial" w:cs="Arial"/>
          <w:sz w:val="24"/>
          <w:szCs w:val="24"/>
        </w:rPr>
        <w:t>ePUAP</w:t>
      </w:r>
      <w:proofErr w:type="spellEnd"/>
      <w:r w:rsidRPr="00AB7252">
        <w:rPr>
          <w:rFonts w:ascii="Arial" w:hAnsi="Arial" w:cs="Arial"/>
          <w:sz w:val="24"/>
          <w:szCs w:val="24"/>
        </w:rPr>
        <w:t>,</w:t>
      </w:r>
    </w:p>
    <w:p w:rsidR="00EE75BC"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akty przekazywane w standardowej formie papierowej – dedykowany moduł skanowania z rozpoznawaniem treści (OCR) metadanych przekazywanych aktów oraz podstaw prawnych.</w:t>
      </w:r>
    </w:p>
    <w:p w:rsidR="00344EC1"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 xml:space="preserve">możliwość ręcznego dodawania dokumentów z dysku twardego </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Praca z dokumentami nadzoru bezpośrednio w aplikacji</w:t>
      </w:r>
      <w:r w:rsidR="00BB132F" w:rsidRPr="00AB7252">
        <w:rPr>
          <w:rFonts w:ascii="Arial" w:hAnsi="Arial" w:cs="Arial"/>
          <w:b/>
          <w:bCs/>
          <w:sz w:val="24"/>
          <w:szCs w:val="24"/>
        </w:rPr>
        <w:t>:</w:t>
      </w:r>
      <w:r w:rsidRPr="00AB7252">
        <w:rPr>
          <w:rFonts w:ascii="Arial" w:hAnsi="Arial" w:cs="Arial"/>
          <w:b/>
          <w:bCs/>
          <w:sz w:val="24"/>
          <w:szCs w:val="24"/>
        </w:rPr>
        <w:t xml:space="preserve"> </w:t>
      </w:r>
      <w:r w:rsidRPr="00AB7252">
        <w:rPr>
          <w:rFonts w:ascii="Arial" w:hAnsi="Arial" w:cs="Arial"/>
          <w:sz w:val="24"/>
          <w:szCs w:val="24"/>
        </w:rPr>
        <w:t xml:space="preserve"> wbudowany edytor XML pozwala</w:t>
      </w:r>
      <w:r w:rsidR="00276E11" w:rsidRPr="00AB7252">
        <w:rPr>
          <w:rFonts w:ascii="Arial" w:hAnsi="Arial" w:cs="Arial"/>
          <w:sz w:val="24"/>
          <w:szCs w:val="24"/>
        </w:rPr>
        <w:t>jący</w:t>
      </w:r>
      <w:r w:rsidRPr="00AB7252">
        <w:rPr>
          <w:rFonts w:ascii="Arial" w:hAnsi="Arial" w:cs="Arial"/>
          <w:sz w:val="24"/>
          <w:szCs w:val="24"/>
        </w:rPr>
        <w:t xml:space="preserve"> na przygotowywanie zarówno rozstrzygnięć nadzorczych zgodnych </w:t>
      </w:r>
      <w:r w:rsidR="00276E11" w:rsidRPr="00AB7252">
        <w:rPr>
          <w:rFonts w:ascii="Arial" w:hAnsi="Arial" w:cs="Arial"/>
          <w:sz w:val="24"/>
          <w:szCs w:val="24"/>
        </w:rPr>
        <w:t>z</w:t>
      </w:r>
      <w:r w:rsidRPr="00AB7252">
        <w:rPr>
          <w:rFonts w:ascii="Arial" w:hAnsi="Arial" w:cs="Arial"/>
          <w:sz w:val="24"/>
          <w:szCs w:val="24"/>
        </w:rPr>
        <w:t xml:space="preserve"> ustawą o ogłaszaniu aktów (podlegających publikacji w Dzienniku Urzędowym Wojewody), jak również wszystkich innych dokumentów tworzonych w ramach nadzoru (np.: pytań do JST, zawiadomień o wszczęciu postępowania, wskazań nadzorczych).</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Możliwość opatrywania tworzonych dokumentów bezpiecznym podpisem elektronicznym.</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Możliwość przekazywania wszystkich tworzonych dokumentów w formie elektronicznej </w:t>
      </w:r>
      <w:r w:rsidRPr="00AB7252">
        <w:rPr>
          <w:rFonts w:ascii="Arial" w:hAnsi="Arial" w:cs="Arial"/>
          <w:sz w:val="24"/>
          <w:szCs w:val="24"/>
        </w:rPr>
        <w:t xml:space="preserve">do JST przy użyciu </w:t>
      </w:r>
      <w:proofErr w:type="spellStart"/>
      <w:r w:rsidRPr="00AB7252">
        <w:rPr>
          <w:rFonts w:ascii="Arial" w:hAnsi="Arial" w:cs="Arial"/>
          <w:sz w:val="24"/>
          <w:szCs w:val="24"/>
        </w:rPr>
        <w:t>ePUAP</w:t>
      </w:r>
      <w:proofErr w:type="spellEnd"/>
      <w:r w:rsidRPr="00AB7252">
        <w:rPr>
          <w:rFonts w:ascii="Arial" w:hAnsi="Arial" w:cs="Arial"/>
          <w:sz w:val="24"/>
          <w:szCs w:val="24"/>
        </w:rPr>
        <w:t xml:space="preserve"> (wysyłka z poziomu systemu EZD PUW po automatycznej synchronizacji dokumentów z systemu </w:t>
      </w:r>
      <w:proofErr w:type="spellStart"/>
      <w:r w:rsidRPr="00AB7252">
        <w:rPr>
          <w:rFonts w:ascii="Arial" w:hAnsi="Arial" w:cs="Arial"/>
          <w:sz w:val="24"/>
          <w:szCs w:val="24"/>
        </w:rPr>
        <w:t>eNadzór</w:t>
      </w:r>
      <w:proofErr w:type="spellEnd"/>
      <w:r w:rsidRPr="00AB7252">
        <w:rPr>
          <w:rFonts w:ascii="Arial" w:hAnsi="Arial" w:cs="Arial"/>
          <w:sz w:val="24"/>
          <w:szCs w:val="24"/>
        </w:rPr>
        <w:t>)</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Asystent Legislatora </w:t>
      </w:r>
      <w:r w:rsidRPr="00AB7252">
        <w:rPr>
          <w:rFonts w:ascii="Arial" w:hAnsi="Arial" w:cs="Arial"/>
          <w:sz w:val="24"/>
          <w:szCs w:val="24"/>
        </w:rPr>
        <w:t>– automatyczna, merytoryczna analiza aktów wpływających do nadzoru oraz dokumentów nadzoru (tworzonych w systemie) w zakresie:</w:t>
      </w:r>
    </w:p>
    <w:p w:rsidR="00BE518E" w:rsidRPr="00AB7252" w:rsidRDefault="00344EC1" w:rsidP="004D4AEF">
      <w:pPr>
        <w:pStyle w:val="Akapitzlist"/>
        <w:numPr>
          <w:ilvl w:val="0"/>
          <w:numId w:val="5"/>
        </w:numPr>
        <w:spacing w:after="100"/>
        <w:ind w:left="851" w:hanging="284"/>
        <w:contextualSpacing w:val="0"/>
        <w:rPr>
          <w:rFonts w:ascii="Arial" w:hAnsi="Arial" w:cs="Arial"/>
          <w:sz w:val="24"/>
          <w:szCs w:val="24"/>
        </w:rPr>
      </w:pPr>
      <w:r w:rsidRPr="00AB7252">
        <w:rPr>
          <w:rFonts w:ascii="Arial" w:hAnsi="Arial" w:cs="Arial"/>
          <w:sz w:val="24"/>
          <w:szCs w:val="24"/>
        </w:rPr>
        <w:t>rozpoznawania przepisów umieszczonych w podstawie prawnej aktu przekazanego w trybie nadzoru;</w:t>
      </w:r>
    </w:p>
    <w:p w:rsidR="00344EC1" w:rsidRPr="00AB7252" w:rsidRDefault="00344EC1" w:rsidP="004D4AEF">
      <w:pPr>
        <w:pStyle w:val="Akapitzlist"/>
        <w:numPr>
          <w:ilvl w:val="0"/>
          <w:numId w:val="5"/>
        </w:numPr>
        <w:spacing w:after="100"/>
        <w:ind w:left="851" w:hanging="284"/>
        <w:contextualSpacing w:val="0"/>
        <w:rPr>
          <w:rFonts w:ascii="Arial" w:hAnsi="Arial" w:cs="Arial"/>
          <w:sz w:val="24"/>
          <w:szCs w:val="24"/>
        </w:rPr>
      </w:pPr>
      <w:r w:rsidRPr="00AB7252">
        <w:rPr>
          <w:rFonts w:ascii="Arial" w:hAnsi="Arial" w:cs="Arial"/>
          <w:sz w:val="24"/>
          <w:szCs w:val="24"/>
        </w:rPr>
        <w:t xml:space="preserve">rozpoznawania naruszonych przepisów prawa oraz przywołanego orzecznictwa w dokumentach tworzonych w systemie (np.: rozstrzygnięciach nadzorczych). </w:t>
      </w:r>
    </w:p>
    <w:p w:rsidR="00BE518E" w:rsidRPr="00AB7252" w:rsidRDefault="00344EC1" w:rsidP="004D4AEF">
      <w:pPr>
        <w:spacing w:after="100"/>
        <w:ind w:left="567"/>
        <w:rPr>
          <w:rFonts w:ascii="Arial" w:hAnsi="Arial" w:cs="Arial"/>
          <w:sz w:val="24"/>
          <w:szCs w:val="24"/>
          <w:u w:val="single"/>
        </w:rPr>
      </w:pPr>
      <w:r w:rsidRPr="00AB7252">
        <w:rPr>
          <w:rFonts w:ascii="Arial" w:hAnsi="Arial" w:cs="Arial"/>
          <w:sz w:val="24"/>
          <w:szCs w:val="24"/>
          <w:u w:val="single"/>
        </w:rPr>
        <w:t>Funkcjonalności asystenta Legislatora dostępne z poziomu aktu przekazanego do nadzoru:</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aktów podobnych </w:t>
      </w:r>
      <w:r w:rsidRPr="00AB7252">
        <w:rPr>
          <w:rFonts w:ascii="Arial" w:hAnsi="Arial" w:cs="Arial"/>
          <w:sz w:val="24"/>
          <w:szCs w:val="24"/>
        </w:rPr>
        <w:t xml:space="preserve">(posiadających to samo hasło skorowidza lub wydanych na tej samej podstawie, przy czym możliwość zawężania wyboru </w:t>
      </w:r>
      <w:r w:rsidRPr="00AB7252">
        <w:rPr>
          <w:rFonts w:ascii="Arial" w:hAnsi="Arial" w:cs="Arial"/>
          <w:sz w:val="24"/>
          <w:szCs w:val="24"/>
        </w:rPr>
        <w:lastRenderedPageBreak/>
        <w:t>aktów podobnych do konkretnej jednostki redakcyjnej ustawy – np.: wydanych na podstawie tego samego przepisu prawa;</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aktów wydanych w oparciu o tę samą podstawę prawną (lub posiadających to samo hasło skorowidza), </w:t>
      </w:r>
      <w:r w:rsidRPr="00AB7252">
        <w:rPr>
          <w:rFonts w:ascii="Arial" w:hAnsi="Arial" w:cs="Arial"/>
          <w:sz w:val="24"/>
          <w:szCs w:val="24"/>
        </w:rPr>
        <w:t>w których stwierdzono naruszenia przepisów (dla których wydano rozstrzygnięcie lub wskazanie nadzorcze);</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rozstrzygnięć oraz wskazań nadzorczych </w:t>
      </w:r>
      <w:r w:rsidRPr="00AB7252">
        <w:rPr>
          <w:rFonts w:ascii="Arial" w:hAnsi="Arial" w:cs="Arial"/>
          <w:sz w:val="24"/>
          <w:szCs w:val="24"/>
        </w:rPr>
        <w:t>wydanych dla aktów, które miały taką samą podstawę prawną (lub hasło skorowidza) co analizowany akt;</w:t>
      </w:r>
    </w:p>
    <w:p w:rsidR="00344EC1"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wszystkich naruszonych przepisów </w:t>
      </w:r>
      <w:r w:rsidRPr="00AB7252">
        <w:rPr>
          <w:rFonts w:ascii="Arial" w:hAnsi="Arial" w:cs="Arial"/>
          <w:sz w:val="24"/>
          <w:szCs w:val="24"/>
        </w:rPr>
        <w:t xml:space="preserve">jakie stwierdzono przy wydawaniu rozstrzygnięć / wskazań nadzorczych dla aktów posiadających tę samą podstawę prawną (lub posiadających to samo hasło skorowidza) co analizowany akt. </w:t>
      </w:r>
    </w:p>
    <w:p w:rsidR="00344EC1" w:rsidRPr="00AB7252" w:rsidRDefault="00344EC1" w:rsidP="004D4AEF">
      <w:pPr>
        <w:spacing w:after="100"/>
        <w:ind w:left="567"/>
        <w:rPr>
          <w:rFonts w:ascii="Arial" w:hAnsi="Arial" w:cs="Arial"/>
          <w:sz w:val="24"/>
          <w:szCs w:val="24"/>
          <w:u w:val="single"/>
        </w:rPr>
      </w:pPr>
      <w:r w:rsidRPr="00AB7252">
        <w:rPr>
          <w:rFonts w:ascii="Arial" w:hAnsi="Arial" w:cs="Arial"/>
          <w:sz w:val="24"/>
          <w:szCs w:val="24"/>
          <w:u w:val="single"/>
        </w:rPr>
        <w:t xml:space="preserve">Funkcjonalności asystenta Legislatora dostępne z poziomu tworzonego rozstrzygnięcia nadzorczego / wskazania nadzorczego: </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aktów, które naruszały podobne przepisy prawa;</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rozstrzygnięć nadzorczych, w których stwierdzono naruszenie podobnych przepisów;</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wskazań nadzorczych, w których stwierdzono naruszenie podobnych przepisów;</w:t>
      </w:r>
    </w:p>
    <w:p w:rsidR="00344EC1"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rozstrzygnięć nadzorczych, w których powoływano się na podobne orzecznictwo. </w:t>
      </w:r>
    </w:p>
    <w:p w:rsidR="00807B5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Integracja z systemem informacji prawnej </w:t>
      </w:r>
      <w:proofErr w:type="spellStart"/>
      <w:r w:rsidRPr="00AB7252">
        <w:rPr>
          <w:rFonts w:ascii="Arial" w:hAnsi="Arial" w:cs="Arial"/>
          <w:b/>
          <w:bCs/>
          <w:sz w:val="24"/>
          <w:szCs w:val="24"/>
        </w:rPr>
        <w:t>Legalis</w:t>
      </w:r>
      <w:proofErr w:type="spellEnd"/>
      <w:r w:rsidRPr="00AB7252">
        <w:rPr>
          <w:rFonts w:ascii="Arial" w:hAnsi="Arial" w:cs="Arial"/>
          <w:b/>
          <w:bCs/>
          <w:sz w:val="24"/>
          <w:szCs w:val="24"/>
        </w:rPr>
        <w:t xml:space="preserve"> wydawnictwa C.H. Beck:</w:t>
      </w:r>
    </w:p>
    <w:p w:rsidR="00807B50" w:rsidRPr="00AB7252" w:rsidRDefault="00344EC1" w:rsidP="004D4AEF">
      <w:pPr>
        <w:pStyle w:val="Akapitzlist"/>
        <w:numPr>
          <w:ilvl w:val="0"/>
          <w:numId w:val="8"/>
        </w:numPr>
        <w:spacing w:after="100"/>
        <w:ind w:left="851" w:hanging="284"/>
        <w:contextualSpacing w:val="0"/>
        <w:rPr>
          <w:rFonts w:ascii="Arial" w:hAnsi="Arial" w:cs="Arial"/>
          <w:sz w:val="24"/>
          <w:szCs w:val="24"/>
        </w:rPr>
      </w:pPr>
      <w:r w:rsidRPr="00AB7252">
        <w:rPr>
          <w:rFonts w:ascii="Arial" w:hAnsi="Arial" w:cs="Arial"/>
          <w:sz w:val="24"/>
          <w:szCs w:val="24"/>
        </w:rPr>
        <w:t xml:space="preserve">tworzenie linków do przepisów podstawy prawnej aktu przekazanego w trybie nadzoru w SIP </w:t>
      </w:r>
      <w:proofErr w:type="spellStart"/>
      <w:r w:rsidRPr="00AB7252">
        <w:rPr>
          <w:rFonts w:ascii="Arial" w:hAnsi="Arial" w:cs="Arial"/>
          <w:sz w:val="24"/>
          <w:szCs w:val="24"/>
        </w:rPr>
        <w:t>Legalis</w:t>
      </w:r>
      <w:proofErr w:type="spellEnd"/>
      <w:r w:rsidRPr="00AB7252">
        <w:rPr>
          <w:rFonts w:ascii="Arial" w:hAnsi="Arial" w:cs="Arial"/>
          <w:sz w:val="24"/>
          <w:szCs w:val="24"/>
        </w:rPr>
        <w:t>, dostęp do treści konkretnych jednostek redakcyjnych bezpośrednio z poziomu aktu,</w:t>
      </w:r>
    </w:p>
    <w:p w:rsidR="00344EC1" w:rsidRPr="00AB7252" w:rsidRDefault="00344EC1" w:rsidP="004D4AEF">
      <w:pPr>
        <w:pStyle w:val="Akapitzlist"/>
        <w:numPr>
          <w:ilvl w:val="0"/>
          <w:numId w:val="8"/>
        </w:numPr>
        <w:spacing w:after="100"/>
        <w:ind w:left="851" w:hanging="284"/>
        <w:contextualSpacing w:val="0"/>
        <w:rPr>
          <w:rFonts w:ascii="Arial" w:hAnsi="Arial" w:cs="Arial"/>
          <w:sz w:val="24"/>
          <w:szCs w:val="24"/>
        </w:rPr>
      </w:pPr>
      <w:r w:rsidRPr="00AB7252">
        <w:rPr>
          <w:rFonts w:ascii="Arial" w:hAnsi="Arial" w:cs="Arial"/>
          <w:sz w:val="24"/>
          <w:szCs w:val="24"/>
        </w:rPr>
        <w:t xml:space="preserve">możliwość linkowania do SIP orzecznictwa oraz naruszonych przepisów prawa, dostęp do orzecznictwa / naruszonych przepisów prawa bezpośrednio z dokumentu nadzoru (rozstrzygnięcia nadzorczego / wskazania nadzorczego) </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Rejestry dokumentów </w:t>
      </w:r>
      <w:r w:rsidRPr="00AB7252">
        <w:rPr>
          <w:rFonts w:ascii="Arial" w:hAnsi="Arial" w:cs="Arial"/>
          <w:sz w:val="24"/>
          <w:szCs w:val="24"/>
        </w:rPr>
        <w:t xml:space="preserve">– rejestr korespondencji przychodzącej i wychodzącej, rejestr aktów, rejestr rozstrzygnięć nadzorczych – rejestry prowadzone automatycznie dla przychodzących </w:t>
      </w:r>
      <w:r w:rsidR="00A40415">
        <w:rPr>
          <w:rFonts w:ascii="Arial" w:hAnsi="Arial" w:cs="Arial"/>
          <w:sz w:val="24"/>
          <w:szCs w:val="24"/>
        </w:rPr>
        <w:t>i</w:t>
      </w:r>
      <w:r w:rsidRPr="00AB7252">
        <w:rPr>
          <w:rFonts w:ascii="Arial" w:hAnsi="Arial" w:cs="Arial"/>
          <w:sz w:val="24"/>
          <w:szCs w:val="24"/>
        </w:rPr>
        <w:t xml:space="preserve"> tworzonych dokumentów.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Moduł teczek aktowych i spraw </w:t>
      </w:r>
      <w:r w:rsidRPr="00AB7252">
        <w:rPr>
          <w:rFonts w:ascii="Arial" w:hAnsi="Arial" w:cs="Arial"/>
          <w:sz w:val="24"/>
          <w:szCs w:val="24"/>
        </w:rPr>
        <w:t xml:space="preserve">– system </w:t>
      </w:r>
      <w:r w:rsidR="00A40415">
        <w:rPr>
          <w:rFonts w:ascii="Arial" w:hAnsi="Arial" w:cs="Arial"/>
          <w:sz w:val="24"/>
          <w:szCs w:val="24"/>
        </w:rPr>
        <w:t xml:space="preserve">ma </w:t>
      </w:r>
      <w:r w:rsidRPr="00AB7252">
        <w:rPr>
          <w:rFonts w:ascii="Arial" w:hAnsi="Arial" w:cs="Arial"/>
          <w:sz w:val="24"/>
          <w:szCs w:val="24"/>
        </w:rPr>
        <w:t>pozwal</w:t>
      </w:r>
      <w:r w:rsidR="00A40415">
        <w:rPr>
          <w:rFonts w:ascii="Arial" w:hAnsi="Arial" w:cs="Arial"/>
          <w:sz w:val="24"/>
          <w:szCs w:val="24"/>
        </w:rPr>
        <w:t>ać</w:t>
      </w:r>
      <w:r w:rsidRPr="00AB7252">
        <w:rPr>
          <w:rFonts w:ascii="Arial" w:hAnsi="Arial" w:cs="Arial"/>
          <w:sz w:val="24"/>
          <w:szCs w:val="24"/>
        </w:rPr>
        <w:t xml:space="preserve"> na prowadzenie teczek aktowych i spraw zgodnie z JRWA (sprawy automatycznie synchronizowane do systemu EZD PUW)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Reguły tworzenia spraw i umieszczania w nich właściwych dokumentów </w:t>
      </w:r>
      <w:r w:rsidRPr="00AB7252">
        <w:rPr>
          <w:rFonts w:ascii="Arial" w:hAnsi="Arial" w:cs="Arial"/>
          <w:sz w:val="24"/>
          <w:szCs w:val="24"/>
        </w:rPr>
        <w:t>– możliwość zdefiniowania reguł tworzenia spraw w teczkach, dzięki czemu dla dokumentów otrzymywanych w trybie nadzoru i dokumentów tworzonych w systemie, możliwość automatycznego zakładania właściwych spraw.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lastRenderedPageBreak/>
        <w:t xml:space="preserve">Reguły dekretacji </w:t>
      </w:r>
      <w:r w:rsidRPr="00AB7252">
        <w:rPr>
          <w:rFonts w:ascii="Arial" w:hAnsi="Arial" w:cs="Arial"/>
          <w:sz w:val="24"/>
          <w:szCs w:val="24"/>
        </w:rPr>
        <w:t xml:space="preserve">pozwalające na ustawienie predefiniowanych ścieżek dekretacji w zależności od nadawcy korespondencji oraz typu dokumentu (np.: przypisanie użytkownikom urzędów, których akty rozpatrują). Po zdefiniowaniu właściwych ścieżek, dekretacja realizowana </w:t>
      </w:r>
      <w:r w:rsidR="007423F6">
        <w:rPr>
          <w:rFonts w:ascii="Arial" w:hAnsi="Arial" w:cs="Arial"/>
          <w:sz w:val="24"/>
          <w:szCs w:val="24"/>
        </w:rPr>
        <w:t>będzie</w:t>
      </w:r>
      <w:r w:rsidRPr="00AB7252">
        <w:rPr>
          <w:rFonts w:ascii="Arial" w:hAnsi="Arial" w:cs="Arial"/>
          <w:sz w:val="24"/>
          <w:szCs w:val="24"/>
        </w:rPr>
        <w:t xml:space="preserve"> przez system automatycznie.</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Moduł monitorowania zagrożeń </w:t>
      </w:r>
      <w:r w:rsidRPr="00AB7252">
        <w:rPr>
          <w:rFonts w:ascii="Arial" w:hAnsi="Arial" w:cs="Arial"/>
          <w:sz w:val="24"/>
          <w:szCs w:val="24"/>
        </w:rPr>
        <w:t>pozwalający na określenie czasu na realizację poszczególnych zadań, oraz monitorowanie czasu na realizację całej sprawy (30 dni od daty wpłynięcia aktu do nadzoru). Użytkownicy przy każdej załatwianej sprawie (zadaniu) mają informację dot. ilości dni na jej wykonanie.</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Monitorowanie realizacji </w:t>
      </w:r>
      <w:r w:rsidRPr="00AB7252">
        <w:rPr>
          <w:rFonts w:ascii="Arial" w:hAnsi="Arial" w:cs="Arial"/>
          <w:sz w:val="24"/>
          <w:szCs w:val="24"/>
        </w:rPr>
        <w:t>– dedykowany widok dla dyrektora wydziału pozwalający na monitorowanie realizacji zadań przez pracowników. Kompletna informacja dot. ilości realizowanych spraw (wg urzędów, wg ilości dni pozo-stałych na realizację, wg pracowników). Możliwość tworzenia własnych widoków monitorowania realizacji.</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Wbudowany edytor szablonów dokumentów nadzoru </w:t>
      </w:r>
      <w:r w:rsidRPr="00AB7252">
        <w:rPr>
          <w:rFonts w:ascii="Arial" w:hAnsi="Arial" w:cs="Arial"/>
          <w:sz w:val="24"/>
          <w:szCs w:val="24"/>
        </w:rPr>
        <w:t xml:space="preserve">pozwalający na przygotowanie dowolnej ilości szablonów dokumentów wykorzystywanych w procesie nadzoru. W ramach wdrożenia, </w:t>
      </w:r>
      <w:r w:rsidR="00D847AD">
        <w:rPr>
          <w:rFonts w:ascii="Arial" w:hAnsi="Arial" w:cs="Arial"/>
          <w:sz w:val="24"/>
          <w:szCs w:val="24"/>
        </w:rPr>
        <w:t>Wykonawca</w:t>
      </w:r>
      <w:r w:rsidRPr="00AB7252">
        <w:rPr>
          <w:rFonts w:ascii="Arial" w:hAnsi="Arial" w:cs="Arial"/>
          <w:sz w:val="24"/>
          <w:szCs w:val="24"/>
        </w:rPr>
        <w:t xml:space="preserve"> przygotuje szablony na podstawie faktycznie tworzonych dokumentów otrzymanych z Urzędu Wojewódzkiego.</w:t>
      </w:r>
    </w:p>
    <w:p w:rsidR="00344EC1"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Obsługa procesu skargowego z możliwością wygenerowania paczki </w:t>
      </w:r>
      <w:proofErr w:type="spellStart"/>
      <w:r w:rsidRPr="00AB7252">
        <w:rPr>
          <w:rFonts w:ascii="Arial" w:hAnsi="Arial" w:cs="Arial"/>
          <w:b/>
          <w:bCs/>
          <w:sz w:val="24"/>
          <w:szCs w:val="24"/>
        </w:rPr>
        <w:t>eADM</w:t>
      </w:r>
      <w:proofErr w:type="spellEnd"/>
      <w:r w:rsidRPr="00AB7252">
        <w:rPr>
          <w:rFonts w:ascii="Arial" w:hAnsi="Arial" w:cs="Arial"/>
          <w:b/>
          <w:bCs/>
          <w:sz w:val="24"/>
          <w:szCs w:val="24"/>
        </w:rPr>
        <w:t xml:space="preserve">, </w:t>
      </w:r>
      <w:r w:rsidRPr="00AB7252">
        <w:rPr>
          <w:rFonts w:ascii="Arial" w:hAnsi="Arial" w:cs="Arial"/>
          <w:sz w:val="24"/>
          <w:szCs w:val="24"/>
        </w:rPr>
        <w:t xml:space="preserve">przy pomocy której należy przekazać kompletne akta sprawy w postaci elektronicznej do WSA / NSA </w:t>
      </w:r>
    </w:p>
    <w:p w:rsidR="00344EC1" w:rsidRPr="00AB7252" w:rsidRDefault="00344EC1" w:rsidP="004D4AEF">
      <w:pPr>
        <w:spacing w:after="100"/>
        <w:rPr>
          <w:rFonts w:ascii="Arial" w:hAnsi="Arial" w:cs="Arial"/>
          <w:sz w:val="24"/>
          <w:szCs w:val="24"/>
        </w:rPr>
      </w:pPr>
    </w:p>
    <w:p w:rsidR="00344EC1"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Zestawienie funkcjonalność technicznych</w:t>
      </w:r>
      <w:r w:rsidR="002E3180" w:rsidRPr="00AB7252">
        <w:rPr>
          <w:rFonts w:ascii="Arial" w:hAnsi="Arial" w:cs="Arial"/>
          <w:b/>
          <w:sz w:val="24"/>
          <w:szCs w:val="24"/>
        </w:rPr>
        <w:t>:</w:t>
      </w:r>
      <w:r w:rsidRPr="00AB7252">
        <w:rPr>
          <w:rFonts w:ascii="Arial" w:hAnsi="Arial" w:cs="Arial"/>
          <w:b/>
          <w:sz w:val="24"/>
          <w:szCs w:val="24"/>
        </w:rPr>
        <w:t xml:space="preserve"> </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System w technologii klient – serwer </w:t>
      </w:r>
      <w:r w:rsidRPr="00AB7252">
        <w:rPr>
          <w:rFonts w:ascii="Arial" w:hAnsi="Arial" w:cs="Arial"/>
          <w:sz w:val="24"/>
          <w:szCs w:val="24"/>
        </w:rPr>
        <w:t>gdzie kliente</w:t>
      </w:r>
      <w:r w:rsidR="00562AD8">
        <w:rPr>
          <w:rFonts w:ascii="Arial" w:hAnsi="Arial" w:cs="Arial"/>
          <w:sz w:val="24"/>
          <w:szCs w:val="24"/>
        </w:rPr>
        <w:t>m jest przeglądarka internetowa.</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Obsługa wszystkich podpisów elektroniczn</w:t>
      </w:r>
      <w:r w:rsidR="008666A4">
        <w:rPr>
          <w:rFonts w:ascii="Arial" w:hAnsi="Arial" w:cs="Arial"/>
          <w:b/>
          <w:bCs/>
          <w:sz w:val="24"/>
          <w:szCs w:val="24"/>
        </w:rPr>
        <w:t>ych dostępnych na rynku polskim</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Integracja z systemem EZD PUW </w:t>
      </w:r>
      <w:r w:rsidRPr="00AB7252">
        <w:rPr>
          <w:rFonts w:ascii="Arial" w:hAnsi="Arial" w:cs="Arial"/>
          <w:sz w:val="24"/>
          <w:szCs w:val="24"/>
        </w:rPr>
        <w:t>– automatyczna synchronizacja dokumen</w:t>
      </w:r>
      <w:r w:rsidR="008666A4">
        <w:rPr>
          <w:rFonts w:ascii="Arial" w:hAnsi="Arial" w:cs="Arial"/>
          <w:sz w:val="24"/>
          <w:szCs w:val="24"/>
        </w:rPr>
        <w:t>tów nadzoru pomiędzy systemami</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Synchronizacja struktury organizacyjnej </w:t>
      </w:r>
      <w:r w:rsidRPr="00AB7252">
        <w:rPr>
          <w:rFonts w:ascii="Arial" w:hAnsi="Arial" w:cs="Arial"/>
          <w:sz w:val="24"/>
          <w:szCs w:val="24"/>
        </w:rPr>
        <w:t>– możliwość mapowania struktury organizacyjnej z systemu EZD PUW.</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Baza instytucji (JST) </w:t>
      </w:r>
      <w:r w:rsidRPr="00AB7252">
        <w:rPr>
          <w:rFonts w:ascii="Arial" w:hAnsi="Arial" w:cs="Arial"/>
          <w:sz w:val="24"/>
          <w:szCs w:val="24"/>
        </w:rPr>
        <w:t>– baza jednostek samorządu terytorialnego przekazujących akty w trybie nadzoru.</w:t>
      </w:r>
    </w:p>
    <w:p w:rsidR="00344EC1"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Hasła skorowidza </w:t>
      </w:r>
      <w:r w:rsidRPr="00AB7252">
        <w:rPr>
          <w:rFonts w:ascii="Arial" w:hAnsi="Arial" w:cs="Arial"/>
          <w:sz w:val="24"/>
          <w:szCs w:val="24"/>
        </w:rPr>
        <w:t xml:space="preserve">– predefiniowany </w:t>
      </w:r>
    </w:p>
    <w:p w:rsidR="00344EC1" w:rsidRPr="00AB7252" w:rsidRDefault="00344EC1" w:rsidP="004D4AEF">
      <w:pPr>
        <w:spacing w:after="100"/>
        <w:rPr>
          <w:rFonts w:ascii="Arial" w:hAnsi="Arial" w:cs="Arial"/>
          <w:sz w:val="24"/>
          <w:szCs w:val="24"/>
        </w:rPr>
      </w:pPr>
    </w:p>
    <w:p w:rsidR="00344EC1" w:rsidRPr="00964E3B" w:rsidRDefault="00344EC1" w:rsidP="004D4AEF">
      <w:pPr>
        <w:pStyle w:val="Akapitzlist"/>
        <w:numPr>
          <w:ilvl w:val="0"/>
          <w:numId w:val="2"/>
        </w:numPr>
        <w:spacing w:after="100"/>
        <w:ind w:left="284" w:hanging="284"/>
        <w:contextualSpacing w:val="0"/>
        <w:rPr>
          <w:rFonts w:ascii="Arial" w:hAnsi="Arial" w:cs="Arial"/>
          <w:b/>
          <w:color w:val="000000" w:themeColor="text1"/>
          <w:sz w:val="24"/>
          <w:szCs w:val="24"/>
        </w:rPr>
      </w:pPr>
      <w:r w:rsidRPr="00964E3B">
        <w:rPr>
          <w:rFonts w:ascii="Arial" w:hAnsi="Arial" w:cs="Arial"/>
          <w:b/>
          <w:color w:val="000000" w:themeColor="text1"/>
          <w:sz w:val="24"/>
          <w:szCs w:val="24"/>
        </w:rPr>
        <w:t xml:space="preserve">Zawartość systemu informacji prawnej </w:t>
      </w:r>
      <w:proofErr w:type="spellStart"/>
      <w:r w:rsidRPr="00964E3B">
        <w:rPr>
          <w:rFonts w:ascii="Arial" w:hAnsi="Arial" w:cs="Arial"/>
          <w:b/>
          <w:color w:val="000000" w:themeColor="text1"/>
          <w:sz w:val="24"/>
          <w:szCs w:val="24"/>
        </w:rPr>
        <w:t>Legalis</w:t>
      </w:r>
      <w:proofErr w:type="spellEnd"/>
      <w:r w:rsidR="00964E3B" w:rsidRPr="00964E3B">
        <w:rPr>
          <w:rFonts w:ascii="Arial" w:hAnsi="Arial" w:cs="Arial"/>
          <w:b/>
          <w:color w:val="000000" w:themeColor="text1"/>
          <w:sz w:val="24"/>
          <w:szCs w:val="24"/>
        </w:rPr>
        <w:t xml:space="preserve"> współpracującego z aplikacją</w:t>
      </w:r>
      <w:r w:rsidR="00CA71A3" w:rsidRPr="00964E3B">
        <w:rPr>
          <w:rFonts w:ascii="Arial" w:hAnsi="Arial" w:cs="Arial"/>
          <w:b/>
          <w:color w:val="000000" w:themeColor="text1"/>
          <w:sz w:val="24"/>
          <w:szCs w:val="24"/>
        </w:rPr>
        <w:t>:</w:t>
      </w:r>
      <w:r w:rsidRPr="00964E3B">
        <w:rPr>
          <w:rFonts w:ascii="Arial" w:hAnsi="Arial" w:cs="Arial"/>
          <w:b/>
          <w:color w:val="000000" w:themeColor="text1"/>
          <w:sz w:val="24"/>
          <w:szCs w:val="24"/>
        </w:rPr>
        <w:t xml:space="preserve"> </w:t>
      </w:r>
    </w:p>
    <w:p w:rsidR="00CA71A3"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Baza aktów prawnych:</w:t>
      </w:r>
    </w:p>
    <w:p w:rsidR="00CA71A3"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t>pełna baza aktów prawa powszechnego z Dz. U. i M.P., aktów prawa resortowego i prawa korporacyjnego,</w:t>
      </w:r>
    </w:p>
    <w:p w:rsidR="00CA71A3"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lastRenderedPageBreak/>
        <w:t>komplet ujednoliconych aktów prawnych opublikowanych w Dz. U. od 1918 r.,</w:t>
      </w:r>
    </w:p>
    <w:p w:rsidR="00344EC1"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aktualizowana codziennie (on-line). </w:t>
      </w:r>
    </w:p>
    <w:p w:rsidR="000D729C"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Pełna baza orzecznictwa:</w:t>
      </w:r>
    </w:p>
    <w:p w:rsidR="000D729C" w:rsidRPr="00964E3B" w:rsidRDefault="00344EC1" w:rsidP="004D4AEF">
      <w:pPr>
        <w:pStyle w:val="Akapitzlist"/>
        <w:numPr>
          <w:ilvl w:val="0"/>
          <w:numId w:val="11"/>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orzecze</w:t>
      </w:r>
      <w:r w:rsidR="00964E3B">
        <w:rPr>
          <w:rFonts w:ascii="Arial" w:hAnsi="Arial" w:cs="Arial"/>
          <w:color w:val="000000" w:themeColor="text1"/>
          <w:sz w:val="24"/>
          <w:szCs w:val="24"/>
        </w:rPr>
        <w:t>nia</w:t>
      </w:r>
      <w:r w:rsidRPr="00964E3B">
        <w:rPr>
          <w:rFonts w:ascii="Arial" w:hAnsi="Arial" w:cs="Arial"/>
          <w:color w:val="000000" w:themeColor="text1"/>
          <w:sz w:val="24"/>
          <w:szCs w:val="24"/>
        </w:rPr>
        <w:t xml:space="preserve"> sądów i administracji m.in.: SN, SA, NSA, WSA,</w:t>
      </w:r>
    </w:p>
    <w:p w:rsidR="000D729C" w:rsidRPr="00964E3B" w:rsidRDefault="00344EC1" w:rsidP="004D4AEF">
      <w:pPr>
        <w:pStyle w:val="Akapitzlist"/>
        <w:numPr>
          <w:ilvl w:val="0"/>
          <w:numId w:val="11"/>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baza orzeczeń Sądu Najwyższego po 1989 r., w tym orzecznictwo niepublikowane; </w:t>
      </w:r>
    </w:p>
    <w:p w:rsidR="000D729C"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Polska Bibliografia Prawnicza:</w:t>
      </w:r>
    </w:p>
    <w:p w:rsidR="000D729C" w:rsidRPr="00964E3B" w:rsidRDefault="00344EC1" w:rsidP="004D4AEF">
      <w:pPr>
        <w:pStyle w:val="Akapitzlist"/>
        <w:numPr>
          <w:ilvl w:val="0"/>
          <w:numId w:val="12"/>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obejmuj</w:t>
      </w:r>
      <w:r w:rsidR="005D30D8">
        <w:rPr>
          <w:rFonts w:ascii="Arial" w:hAnsi="Arial" w:cs="Arial"/>
          <w:color w:val="000000" w:themeColor="text1"/>
          <w:sz w:val="24"/>
          <w:szCs w:val="24"/>
        </w:rPr>
        <w:t>ąca</w:t>
      </w:r>
      <w:r w:rsidRPr="00964E3B">
        <w:rPr>
          <w:rFonts w:ascii="Arial" w:hAnsi="Arial" w:cs="Arial"/>
          <w:color w:val="000000" w:themeColor="text1"/>
          <w:sz w:val="24"/>
          <w:szCs w:val="24"/>
        </w:rPr>
        <w:t xml:space="preserve"> wszystkie pozycje od 1978r.,</w:t>
      </w:r>
    </w:p>
    <w:p w:rsidR="00344EC1" w:rsidRPr="00964E3B" w:rsidRDefault="00344EC1" w:rsidP="004D4AEF">
      <w:pPr>
        <w:pStyle w:val="Akapitzlist"/>
        <w:numPr>
          <w:ilvl w:val="0"/>
          <w:numId w:val="12"/>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aktualizowana co kwartał; </w:t>
      </w:r>
    </w:p>
    <w:p w:rsidR="00216657"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Pisma urzędowe publikowane w oficjalnych publikatorach </w:t>
      </w:r>
      <w:r w:rsidRPr="00964E3B">
        <w:rPr>
          <w:rFonts w:ascii="Arial" w:hAnsi="Arial" w:cs="Arial"/>
          <w:color w:val="000000" w:themeColor="text1"/>
          <w:sz w:val="24"/>
          <w:szCs w:val="24"/>
        </w:rPr>
        <w:t>oraz pisma niepublikowane.</w:t>
      </w:r>
    </w:p>
    <w:p w:rsidR="00216657"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Informatory </w:t>
      </w:r>
      <w:r w:rsidRPr="00964E3B">
        <w:rPr>
          <w:rFonts w:ascii="Arial" w:hAnsi="Arial" w:cs="Arial"/>
          <w:color w:val="000000" w:themeColor="text1"/>
          <w:sz w:val="24"/>
          <w:szCs w:val="24"/>
        </w:rPr>
        <w:t>– kompletne dane teleadresowe wszystkich podmiotów publicznych i instytucji prawniczych, dane o wskaźnikach stosowanych.</w:t>
      </w:r>
    </w:p>
    <w:p w:rsidR="00344EC1"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Czasopisma </w:t>
      </w:r>
      <w:r w:rsidRPr="00964E3B">
        <w:rPr>
          <w:rFonts w:ascii="Arial" w:hAnsi="Arial" w:cs="Arial"/>
          <w:color w:val="000000" w:themeColor="text1"/>
          <w:sz w:val="24"/>
          <w:szCs w:val="24"/>
        </w:rPr>
        <w:t xml:space="preserve">– pełne teksty aktualnych i archiwalnych wydań czasopism wydawnictwa C.H. Beck. </w:t>
      </w:r>
    </w:p>
    <w:p w:rsidR="00344EC1" w:rsidRPr="00AB7252" w:rsidRDefault="00344EC1" w:rsidP="004D4AEF">
      <w:pPr>
        <w:spacing w:after="100"/>
        <w:rPr>
          <w:rFonts w:ascii="Arial" w:hAnsi="Arial" w:cs="Arial"/>
          <w:sz w:val="24"/>
          <w:szCs w:val="24"/>
        </w:rPr>
      </w:pPr>
    </w:p>
    <w:p w:rsidR="00344EC1"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Raporty dostępne w systemie</w:t>
      </w:r>
      <w:r w:rsidR="00600B9D" w:rsidRPr="00AB7252">
        <w:rPr>
          <w:rFonts w:ascii="Arial" w:hAnsi="Arial" w:cs="Arial"/>
          <w:b/>
          <w:sz w:val="24"/>
          <w:szCs w:val="24"/>
        </w:rPr>
        <w:t xml:space="preserve"> - w</w:t>
      </w:r>
      <w:r w:rsidRPr="00AB7252">
        <w:rPr>
          <w:rFonts w:ascii="Arial" w:hAnsi="Arial" w:cs="Arial"/>
          <w:b/>
          <w:sz w:val="24"/>
          <w:szCs w:val="24"/>
        </w:rPr>
        <w:t xml:space="preserve"> systemie wbudowany zosta</w:t>
      </w:r>
      <w:r w:rsidR="00276E11" w:rsidRPr="00AB7252">
        <w:rPr>
          <w:rFonts w:ascii="Arial" w:hAnsi="Arial" w:cs="Arial"/>
          <w:b/>
          <w:sz w:val="24"/>
          <w:szCs w:val="24"/>
        </w:rPr>
        <w:t>nie</w:t>
      </w:r>
      <w:r w:rsidRPr="00AB7252">
        <w:rPr>
          <w:rFonts w:ascii="Arial" w:hAnsi="Arial" w:cs="Arial"/>
          <w:b/>
          <w:sz w:val="24"/>
          <w:szCs w:val="24"/>
        </w:rPr>
        <w:t xml:space="preserve"> „inteligentny” kreator raportów, pozwalający na wyświetlanie szczegółowych zestawień dokumentów dla otrzymanych wyników liczbowych:</w:t>
      </w:r>
    </w:p>
    <w:p w:rsidR="00064E05" w:rsidRPr="00AB7252" w:rsidRDefault="00344EC1" w:rsidP="004D4AEF">
      <w:pPr>
        <w:pStyle w:val="Default"/>
        <w:numPr>
          <w:ilvl w:val="0"/>
          <w:numId w:val="13"/>
        </w:numPr>
        <w:spacing w:after="100" w:line="259" w:lineRule="auto"/>
        <w:ind w:left="567" w:hanging="283"/>
        <w:rPr>
          <w:rFonts w:ascii="Arial" w:hAnsi="Arial" w:cs="Arial"/>
          <w:b/>
          <w:bCs/>
        </w:rPr>
      </w:pPr>
      <w:r w:rsidRPr="00AB7252">
        <w:rPr>
          <w:rFonts w:ascii="Arial" w:hAnsi="Arial" w:cs="Arial"/>
          <w:b/>
          <w:bCs/>
        </w:rPr>
        <w:t>Raporty podstawowe:</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 – wg rodzajów JST.</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 – wg urzędów gmin.</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 xml:space="preserve"> zestawienie aktów do nadzoru przekazanych przez wybraną jednostkę (urząd). </w:t>
      </w:r>
    </w:p>
    <w:p w:rsidR="00064E05" w:rsidRPr="00AB7252" w:rsidRDefault="00344EC1" w:rsidP="004D4AEF">
      <w:pPr>
        <w:pStyle w:val="Default"/>
        <w:numPr>
          <w:ilvl w:val="0"/>
          <w:numId w:val="13"/>
        </w:numPr>
        <w:spacing w:after="100" w:line="259" w:lineRule="auto"/>
        <w:ind w:left="567" w:hanging="283"/>
        <w:rPr>
          <w:rFonts w:ascii="Arial" w:hAnsi="Arial" w:cs="Arial"/>
        </w:rPr>
      </w:pPr>
      <w:r w:rsidRPr="00AB7252">
        <w:rPr>
          <w:rFonts w:ascii="Arial" w:hAnsi="Arial" w:cs="Arial"/>
          <w:b/>
          <w:bCs/>
        </w:rPr>
        <w:t>Raporty merytoryczne:</w:t>
      </w:r>
    </w:p>
    <w:p w:rsidR="00064E05"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zestawienie aktów do nadzoru oraz dokumentów nadzoru wg haseł skorowidza.</w:t>
      </w:r>
    </w:p>
    <w:p w:rsidR="00064E05"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 xml:space="preserve">zestawienie aktów do nadzoru oraz dokumentów do nadzoru wg </w:t>
      </w:r>
      <w:r w:rsidR="004D0EA9">
        <w:rPr>
          <w:rFonts w:ascii="Arial" w:hAnsi="Arial" w:cs="Arial"/>
        </w:rPr>
        <w:t>podstawa prawnych</w:t>
      </w:r>
    </w:p>
    <w:p w:rsidR="00344EC1"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 xml:space="preserve">zestawienie aktów do nadzoru oraz dokumentów do nadzoru wg </w:t>
      </w:r>
      <w:r w:rsidR="004D0EA9">
        <w:rPr>
          <w:rFonts w:ascii="Arial" w:hAnsi="Arial" w:cs="Arial"/>
        </w:rPr>
        <w:t>naruszonych przepisów prawa</w:t>
      </w:r>
      <w:r w:rsidRPr="00AB7252">
        <w:rPr>
          <w:rFonts w:ascii="Arial" w:hAnsi="Arial" w:cs="Arial"/>
        </w:rPr>
        <w:t xml:space="preserve"> </w:t>
      </w:r>
    </w:p>
    <w:p w:rsidR="00344EC1" w:rsidRDefault="00344EC1" w:rsidP="004D4AEF">
      <w:pPr>
        <w:pStyle w:val="Default"/>
        <w:spacing w:after="100" w:line="259" w:lineRule="auto"/>
        <w:rPr>
          <w:rFonts w:ascii="Arial" w:hAnsi="Arial" w:cs="Arial"/>
        </w:rPr>
      </w:pPr>
    </w:p>
    <w:p w:rsidR="006F28CE" w:rsidRDefault="006F28CE" w:rsidP="004D4AEF">
      <w:pPr>
        <w:pStyle w:val="Default"/>
        <w:spacing w:after="100" w:line="259" w:lineRule="auto"/>
        <w:rPr>
          <w:rFonts w:ascii="Arial" w:hAnsi="Arial" w:cs="Arial"/>
        </w:rPr>
      </w:pPr>
    </w:p>
    <w:p w:rsidR="006F28CE" w:rsidRPr="00AB7252" w:rsidRDefault="006F28CE" w:rsidP="004D4AEF">
      <w:pPr>
        <w:pStyle w:val="Default"/>
        <w:spacing w:after="100" w:line="259" w:lineRule="auto"/>
        <w:rPr>
          <w:rFonts w:ascii="Arial" w:hAnsi="Arial" w:cs="Arial"/>
        </w:rPr>
      </w:pPr>
    </w:p>
    <w:p w:rsidR="00344EC1" w:rsidRPr="004D4AEF" w:rsidRDefault="00344EC1" w:rsidP="004D4AEF">
      <w:pPr>
        <w:pStyle w:val="Default"/>
        <w:numPr>
          <w:ilvl w:val="0"/>
          <w:numId w:val="2"/>
        </w:numPr>
        <w:spacing w:after="100" w:line="259" w:lineRule="auto"/>
        <w:ind w:left="284" w:hanging="284"/>
        <w:rPr>
          <w:rFonts w:ascii="Arial" w:hAnsi="Arial" w:cs="Arial"/>
          <w:b/>
          <w:color w:val="000000" w:themeColor="text1"/>
        </w:rPr>
      </w:pPr>
      <w:r w:rsidRPr="004D4AEF">
        <w:rPr>
          <w:rFonts w:ascii="Arial" w:hAnsi="Arial" w:cs="Arial"/>
          <w:b/>
          <w:color w:val="000000" w:themeColor="text1"/>
        </w:rPr>
        <w:lastRenderedPageBreak/>
        <w:t xml:space="preserve">Informacja w zakresie integracji z EZD PUW </w:t>
      </w:r>
    </w:p>
    <w:p w:rsidR="00344EC1" w:rsidRPr="00AB7252" w:rsidRDefault="006F28CE" w:rsidP="004D4AEF">
      <w:pPr>
        <w:pStyle w:val="Default"/>
        <w:spacing w:after="100" w:line="259" w:lineRule="auto"/>
        <w:ind w:left="284"/>
        <w:rPr>
          <w:rFonts w:ascii="Arial" w:hAnsi="Arial" w:cs="Arial"/>
        </w:rPr>
      </w:pPr>
      <w:r w:rsidRPr="00AB7252">
        <w:rPr>
          <w:rFonts w:ascii="Arial" w:hAnsi="Arial" w:cs="Arial"/>
        </w:rPr>
        <w:t>I</w:t>
      </w:r>
      <w:r w:rsidR="00344EC1" w:rsidRPr="00AB7252">
        <w:rPr>
          <w:rFonts w:ascii="Arial" w:hAnsi="Arial" w:cs="Arial"/>
        </w:rPr>
        <w:t>ntegracj</w:t>
      </w:r>
      <w:r>
        <w:rPr>
          <w:rFonts w:ascii="Arial" w:hAnsi="Arial" w:cs="Arial"/>
        </w:rPr>
        <w:t>a ma zapewnić aby:</w:t>
      </w:r>
      <w:r w:rsidR="00344EC1" w:rsidRPr="00AB7252">
        <w:rPr>
          <w:rFonts w:ascii="Arial" w:hAnsi="Arial" w:cs="Arial"/>
        </w:rPr>
        <w:t xml:space="preserve"> wszystkie dokumenty wytwarzane w procesie nadzoru </w:t>
      </w:r>
      <w:r>
        <w:rPr>
          <w:rFonts w:ascii="Arial" w:hAnsi="Arial" w:cs="Arial"/>
        </w:rPr>
        <w:t>były</w:t>
      </w:r>
      <w:r w:rsidR="00344EC1" w:rsidRPr="00AB7252">
        <w:rPr>
          <w:rFonts w:ascii="Arial" w:hAnsi="Arial" w:cs="Arial"/>
        </w:rPr>
        <w:t xml:space="preserve"> automatycznie synchronizowane z systemem EZD, a użytkownicy końcowi, realizację kompletnego procesu nadzoru nad aktami prawnymi JST </w:t>
      </w:r>
      <w:r>
        <w:rPr>
          <w:rFonts w:ascii="Arial" w:hAnsi="Arial" w:cs="Arial"/>
        </w:rPr>
        <w:t>mają móc</w:t>
      </w:r>
      <w:r w:rsidR="00344EC1" w:rsidRPr="00AB7252">
        <w:rPr>
          <w:rFonts w:ascii="Arial" w:hAnsi="Arial" w:cs="Arial"/>
        </w:rPr>
        <w:t xml:space="preserve"> wykonać bezpośrednio w systemie </w:t>
      </w:r>
      <w:proofErr w:type="spellStart"/>
      <w:r w:rsidR="00344EC1" w:rsidRPr="00AB7252">
        <w:rPr>
          <w:rFonts w:ascii="Arial" w:hAnsi="Arial" w:cs="Arial"/>
        </w:rPr>
        <w:t>eNadzór</w:t>
      </w:r>
      <w:proofErr w:type="spellEnd"/>
      <w:r w:rsidR="00344EC1" w:rsidRPr="00AB7252">
        <w:rPr>
          <w:rFonts w:ascii="Arial" w:hAnsi="Arial" w:cs="Arial"/>
        </w:rPr>
        <w:t xml:space="preserve"> (bez konieczności ręcznego powielania czynności w EZD). </w:t>
      </w:r>
      <w:r>
        <w:rPr>
          <w:rFonts w:ascii="Arial" w:hAnsi="Arial" w:cs="Arial"/>
        </w:rPr>
        <w:t>Tak aby</w:t>
      </w:r>
      <w:r w:rsidR="00344EC1" w:rsidRPr="00AB7252">
        <w:rPr>
          <w:rFonts w:ascii="Arial" w:hAnsi="Arial" w:cs="Arial"/>
        </w:rPr>
        <w:t xml:space="preserve"> archiwizacja dokumentów nadzoru </w:t>
      </w:r>
      <w:r>
        <w:rPr>
          <w:rFonts w:ascii="Arial" w:hAnsi="Arial" w:cs="Arial"/>
        </w:rPr>
        <w:t>następowała</w:t>
      </w:r>
      <w:r w:rsidR="00344EC1" w:rsidRPr="00AB7252">
        <w:rPr>
          <w:rFonts w:ascii="Arial" w:hAnsi="Arial" w:cs="Arial"/>
        </w:rPr>
        <w:t xml:space="preserve"> w systemie EZD. W systemie EZD </w:t>
      </w:r>
      <w:r>
        <w:rPr>
          <w:rFonts w:ascii="Arial" w:hAnsi="Arial" w:cs="Arial"/>
        </w:rPr>
        <w:t>mają być</w:t>
      </w:r>
      <w:r w:rsidR="00344EC1" w:rsidRPr="00AB7252">
        <w:rPr>
          <w:rFonts w:ascii="Arial" w:hAnsi="Arial" w:cs="Arial"/>
        </w:rPr>
        <w:t xml:space="preserve"> również kompletne rejestry korespondencji przychodzącej i wychodzącej. </w:t>
      </w:r>
    </w:p>
    <w:p w:rsidR="00AB7252" w:rsidRPr="00AB7252" w:rsidRDefault="00344EC1" w:rsidP="004D4AEF">
      <w:pPr>
        <w:pStyle w:val="Default"/>
        <w:spacing w:after="100" w:line="259" w:lineRule="auto"/>
        <w:ind w:left="284"/>
        <w:rPr>
          <w:rFonts w:ascii="Arial" w:hAnsi="Arial" w:cs="Arial"/>
        </w:rPr>
      </w:pPr>
      <w:r w:rsidRPr="00AB7252">
        <w:rPr>
          <w:rFonts w:ascii="Arial" w:hAnsi="Arial" w:cs="Arial"/>
        </w:rPr>
        <w:t>Integracja, swoim zakresem, obejmuje:</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przesyłek wpływających </w:t>
      </w:r>
      <w:r w:rsidRPr="00AB7252">
        <w:rPr>
          <w:rFonts w:ascii="Arial" w:hAnsi="Arial" w:cs="Arial"/>
        </w:rPr>
        <w:t xml:space="preserve">– cała korespondencja (papierowa i elektroniczna) wpływa do systemu EZD. W systemie EZD jest ona stosownie oznaczana, jako „korespondencja dla systemu </w:t>
      </w:r>
      <w:proofErr w:type="spellStart"/>
      <w:r w:rsidRPr="00AB7252">
        <w:rPr>
          <w:rFonts w:ascii="Arial" w:hAnsi="Arial" w:cs="Arial"/>
        </w:rPr>
        <w:t>eNadzór</w:t>
      </w:r>
      <w:proofErr w:type="spellEnd"/>
      <w:r w:rsidRPr="00AB7252">
        <w:rPr>
          <w:rFonts w:ascii="Arial" w:hAnsi="Arial" w:cs="Arial"/>
        </w:rPr>
        <w:t xml:space="preserve">” (przy czym w przypadku korespondencji elektronicznej przekazywanej przez </w:t>
      </w:r>
      <w:proofErr w:type="spellStart"/>
      <w:r w:rsidRPr="00AB7252">
        <w:rPr>
          <w:rFonts w:ascii="Arial" w:hAnsi="Arial" w:cs="Arial"/>
        </w:rPr>
        <w:t>ePUAP</w:t>
      </w:r>
      <w:proofErr w:type="spellEnd"/>
      <w:r w:rsidRPr="00AB7252">
        <w:rPr>
          <w:rFonts w:ascii="Arial" w:hAnsi="Arial" w:cs="Arial"/>
        </w:rPr>
        <w:t xml:space="preserve">, po wpływie do EZD będzie automatycznie oznaczana jako korespondencja dla systemu </w:t>
      </w:r>
      <w:proofErr w:type="spellStart"/>
      <w:r w:rsidRPr="00AB7252">
        <w:rPr>
          <w:rFonts w:ascii="Arial" w:hAnsi="Arial" w:cs="Arial"/>
        </w:rPr>
        <w:t>eNadzór</w:t>
      </w:r>
      <w:proofErr w:type="spellEnd"/>
      <w:r w:rsidRPr="00AB7252">
        <w:rPr>
          <w:rFonts w:ascii="Arial" w:hAnsi="Arial" w:cs="Arial"/>
        </w:rPr>
        <w:t>).</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przesyłek wychodzących </w:t>
      </w:r>
      <w:r w:rsidRPr="00AB7252">
        <w:rPr>
          <w:rFonts w:ascii="Arial" w:hAnsi="Arial" w:cs="Arial"/>
        </w:rPr>
        <w:t xml:space="preserve">– korespondencja w postaci elektronicznej, przygotowywana w systemie </w:t>
      </w:r>
      <w:proofErr w:type="spellStart"/>
      <w:r w:rsidRPr="00AB7252">
        <w:rPr>
          <w:rFonts w:ascii="Arial" w:hAnsi="Arial" w:cs="Arial"/>
        </w:rPr>
        <w:t>eNadzór</w:t>
      </w:r>
      <w:proofErr w:type="spellEnd"/>
      <w:r w:rsidRPr="00AB7252">
        <w:rPr>
          <w:rFonts w:ascii="Arial" w:hAnsi="Arial" w:cs="Arial"/>
        </w:rPr>
        <w:t xml:space="preserve"> będzie przekazywana do EZD celem jej wysyłki przez </w:t>
      </w:r>
      <w:proofErr w:type="spellStart"/>
      <w:r w:rsidRPr="00AB7252">
        <w:rPr>
          <w:rFonts w:ascii="Arial" w:hAnsi="Arial" w:cs="Arial"/>
        </w:rPr>
        <w:t>ePUAP</w:t>
      </w:r>
      <w:proofErr w:type="spellEnd"/>
      <w:r w:rsidRPr="00AB7252">
        <w:rPr>
          <w:rFonts w:ascii="Arial" w:hAnsi="Arial" w:cs="Arial"/>
        </w:rPr>
        <w:t xml:space="preserve"> (przekazanie do EZD nastąpi automatycznie po złożeniu podpisu elektronicznego pod dokumentem wychodzącym w systemie </w:t>
      </w:r>
      <w:proofErr w:type="spellStart"/>
      <w:r w:rsidRPr="00AB7252">
        <w:rPr>
          <w:rFonts w:ascii="Arial" w:hAnsi="Arial" w:cs="Arial"/>
        </w:rPr>
        <w:t>eNadzór</w:t>
      </w:r>
      <w:proofErr w:type="spellEnd"/>
      <w:r w:rsidRPr="00AB7252">
        <w:rPr>
          <w:rFonts w:ascii="Arial" w:hAnsi="Arial" w:cs="Arial"/>
        </w:rPr>
        <w:t>).</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procesu opiniowania aktów JST przez inną komórkę merytoryczną </w:t>
      </w:r>
      <w:r w:rsidRPr="00AB7252">
        <w:rPr>
          <w:rFonts w:ascii="Arial" w:hAnsi="Arial" w:cs="Arial"/>
        </w:rPr>
        <w:t xml:space="preserve">– w zakresie przekazywania wybranych aktów do opinii wydziałów merytorycznych (prośba o opinię przygotowywana jest w systemie </w:t>
      </w:r>
      <w:proofErr w:type="spellStart"/>
      <w:r w:rsidRPr="00AB7252">
        <w:rPr>
          <w:rFonts w:ascii="Arial" w:hAnsi="Arial" w:cs="Arial"/>
        </w:rPr>
        <w:t>eNadzór</w:t>
      </w:r>
      <w:proofErr w:type="spellEnd"/>
      <w:r w:rsidRPr="00AB7252">
        <w:rPr>
          <w:rFonts w:ascii="Arial" w:hAnsi="Arial" w:cs="Arial"/>
        </w:rPr>
        <w:t xml:space="preserve">, następnie jest przekazywana do EZD, przygotowywanie opinii jest realizowane w systemie EZD, po czym dokument opinii automatycznie oznaczany jest w EZD jako „do odebrania przez </w:t>
      </w:r>
      <w:proofErr w:type="spellStart"/>
      <w:r w:rsidRPr="00AB7252">
        <w:rPr>
          <w:rFonts w:ascii="Arial" w:hAnsi="Arial" w:cs="Arial"/>
        </w:rPr>
        <w:t>eNadzór</w:t>
      </w:r>
      <w:proofErr w:type="spellEnd"/>
      <w:r w:rsidRPr="00AB7252">
        <w:rPr>
          <w:rFonts w:ascii="Arial" w:hAnsi="Arial" w:cs="Arial"/>
        </w:rPr>
        <w:t xml:space="preserve">” – w efekcie </w:t>
      </w:r>
      <w:r w:rsidR="00A11FAF">
        <w:rPr>
          <w:rFonts w:ascii="Arial" w:hAnsi="Arial" w:cs="Arial"/>
        </w:rPr>
        <w:t>ma być</w:t>
      </w:r>
      <w:r w:rsidRPr="00AB7252">
        <w:rPr>
          <w:rFonts w:ascii="Arial" w:hAnsi="Arial" w:cs="Arial"/>
        </w:rPr>
        <w:t xml:space="preserve"> automatycznie przekazywany do systemu </w:t>
      </w:r>
      <w:proofErr w:type="spellStart"/>
      <w:r w:rsidRPr="00AB7252">
        <w:rPr>
          <w:rFonts w:ascii="Arial" w:hAnsi="Arial" w:cs="Arial"/>
        </w:rPr>
        <w:t>eNadzór</w:t>
      </w:r>
      <w:proofErr w:type="spellEnd"/>
      <w:r w:rsidRPr="00AB7252">
        <w:rPr>
          <w:rFonts w:ascii="Arial" w:hAnsi="Arial" w:cs="Arial"/>
        </w:rPr>
        <w:t xml:space="preserve"> i dołączany do właściwych akt sprawy).</w:t>
      </w:r>
    </w:p>
    <w:p w:rsidR="00344EC1"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Akta spraw </w:t>
      </w:r>
      <w:r w:rsidRPr="00AB7252">
        <w:rPr>
          <w:rFonts w:ascii="Arial" w:hAnsi="Arial" w:cs="Arial"/>
        </w:rPr>
        <w:t xml:space="preserve">– synchronizacja spraw z systemu </w:t>
      </w:r>
      <w:proofErr w:type="spellStart"/>
      <w:r w:rsidRPr="00AB7252">
        <w:rPr>
          <w:rFonts w:ascii="Arial" w:hAnsi="Arial" w:cs="Arial"/>
        </w:rPr>
        <w:t>eNadzór</w:t>
      </w:r>
      <w:proofErr w:type="spellEnd"/>
      <w:r w:rsidRPr="00AB7252">
        <w:rPr>
          <w:rFonts w:ascii="Arial" w:hAnsi="Arial" w:cs="Arial"/>
        </w:rPr>
        <w:t xml:space="preserve"> do systemu EZD z wybranych symboli JRWA (w efekcie, w systemie EZD </w:t>
      </w:r>
      <w:r w:rsidR="0085743A">
        <w:rPr>
          <w:rFonts w:ascii="Arial" w:hAnsi="Arial" w:cs="Arial"/>
        </w:rPr>
        <w:t xml:space="preserve">ma znajdować się </w:t>
      </w:r>
      <w:r w:rsidRPr="00AB7252">
        <w:rPr>
          <w:rFonts w:ascii="Arial" w:hAnsi="Arial" w:cs="Arial"/>
        </w:rPr>
        <w:t>komplet dokumentów stanowiących akta spraw p</w:t>
      </w:r>
      <w:r w:rsidR="0085743A">
        <w:rPr>
          <w:rFonts w:ascii="Arial" w:hAnsi="Arial" w:cs="Arial"/>
        </w:rPr>
        <w:t xml:space="preserve">rowadzonych w systemie </w:t>
      </w:r>
      <w:proofErr w:type="spellStart"/>
      <w:r w:rsidR="0085743A">
        <w:rPr>
          <w:rFonts w:ascii="Arial" w:hAnsi="Arial" w:cs="Arial"/>
        </w:rPr>
        <w:t>eNadzór</w:t>
      </w:r>
      <w:proofErr w:type="spellEnd"/>
      <w:r w:rsidR="0085743A">
        <w:rPr>
          <w:rFonts w:ascii="Arial" w:hAnsi="Arial" w:cs="Arial"/>
        </w:rPr>
        <w:t>.</w:t>
      </w:r>
    </w:p>
    <w:p w:rsidR="00344EC1" w:rsidRPr="00AB7252" w:rsidRDefault="00344EC1" w:rsidP="004D4AEF">
      <w:pPr>
        <w:pStyle w:val="Default"/>
        <w:spacing w:after="100" w:line="259" w:lineRule="auto"/>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A3290E" w:rsidRPr="004E01C4" w:rsidRDefault="00A3290E" w:rsidP="004E01C4">
      <w:pPr>
        <w:spacing w:after="100"/>
        <w:jc w:val="both"/>
        <w:rPr>
          <w:rFonts w:ascii="Arial" w:hAnsi="Arial" w:cs="Arial"/>
        </w:rPr>
      </w:pPr>
    </w:p>
    <w:p w:rsidR="00A3290E" w:rsidRPr="004E01C4" w:rsidRDefault="00A3290E" w:rsidP="004E01C4">
      <w:pPr>
        <w:spacing w:after="100"/>
        <w:jc w:val="both"/>
        <w:rPr>
          <w:rFonts w:ascii="Arial" w:hAnsi="Arial" w:cs="Arial"/>
        </w:rPr>
      </w:pPr>
    </w:p>
    <w:sectPr w:rsidR="00A3290E" w:rsidRPr="004E0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AA49A2"/>
    <w:multiLevelType w:val="hybridMultilevel"/>
    <w:tmpl w:val="0CBCD934"/>
    <w:lvl w:ilvl="0" w:tplc="FFFFFFFF">
      <w:start w:val="1"/>
      <w:numFmt w:val="ideographDigital"/>
      <w:lvlText w:val=""/>
      <w:lvlJc w:val="left"/>
    </w:lvl>
    <w:lvl w:ilvl="1" w:tplc="35B25914">
      <w:start w:val="1"/>
      <w:numFmt w:val="decimal"/>
      <w:lvlText w:val="%2."/>
      <w:lvlJc w:val="left"/>
      <w:rPr>
        <w:rFonts w:ascii="Arial" w:eastAsiaTheme="minorHAnsi" w:hAnsi="Arial" w:cs="Arial"/>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24A"/>
    <w:multiLevelType w:val="hybridMultilevel"/>
    <w:tmpl w:val="8760E806"/>
    <w:lvl w:ilvl="0" w:tplc="B5D411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250D2"/>
    <w:multiLevelType w:val="hybridMultilevel"/>
    <w:tmpl w:val="C3EEF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C3A4C"/>
    <w:multiLevelType w:val="hybridMultilevel"/>
    <w:tmpl w:val="A2701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B068A"/>
    <w:multiLevelType w:val="hybridMultilevel"/>
    <w:tmpl w:val="FEBAC7C2"/>
    <w:lvl w:ilvl="0" w:tplc="B6E882C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1A16350"/>
    <w:multiLevelType w:val="hybridMultilevel"/>
    <w:tmpl w:val="57AA7F14"/>
    <w:lvl w:ilvl="0" w:tplc="1C5076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AA71650"/>
    <w:multiLevelType w:val="hybridMultilevel"/>
    <w:tmpl w:val="4D2E6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2712B"/>
    <w:multiLevelType w:val="hybridMultilevel"/>
    <w:tmpl w:val="B8A081B2"/>
    <w:lvl w:ilvl="0" w:tplc="2C96F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F35AC"/>
    <w:multiLevelType w:val="hybridMultilevel"/>
    <w:tmpl w:val="C4A0B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841065"/>
    <w:multiLevelType w:val="hybridMultilevel"/>
    <w:tmpl w:val="7DC8FDF0"/>
    <w:lvl w:ilvl="0" w:tplc="6970464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79F56CF"/>
    <w:multiLevelType w:val="hybridMultilevel"/>
    <w:tmpl w:val="D6A2A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067E7A"/>
    <w:multiLevelType w:val="hybridMultilevel"/>
    <w:tmpl w:val="D2C206EC"/>
    <w:lvl w:ilvl="0" w:tplc="0D7E1EA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BA6658F"/>
    <w:multiLevelType w:val="hybridMultilevel"/>
    <w:tmpl w:val="B9AC74CE"/>
    <w:lvl w:ilvl="0" w:tplc="451EEC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D5C0360"/>
    <w:multiLevelType w:val="hybridMultilevel"/>
    <w:tmpl w:val="25FEC550"/>
    <w:lvl w:ilvl="0" w:tplc="34AAAC5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7D5256D"/>
    <w:multiLevelType w:val="hybridMultilevel"/>
    <w:tmpl w:val="32320B74"/>
    <w:lvl w:ilvl="0" w:tplc="CC349D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7BB0B6E"/>
    <w:multiLevelType w:val="hybridMultilevel"/>
    <w:tmpl w:val="A7A26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2"/>
  </w:num>
  <w:num w:numId="5">
    <w:abstractNumId w:val="4"/>
  </w:num>
  <w:num w:numId="6">
    <w:abstractNumId w:val="14"/>
  </w:num>
  <w:num w:numId="7">
    <w:abstractNumId w:val="3"/>
  </w:num>
  <w:num w:numId="8">
    <w:abstractNumId w:val="6"/>
  </w:num>
  <w:num w:numId="9">
    <w:abstractNumId w:val="8"/>
  </w:num>
  <w:num w:numId="10">
    <w:abstractNumId w:val="5"/>
  </w:num>
  <w:num w:numId="11">
    <w:abstractNumId w:val="12"/>
  </w:num>
  <w:num w:numId="12">
    <w:abstractNumId w:val="11"/>
  </w:num>
  <w:num w:numId="13">
    <w:abstractNumId w:val="1"/>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4D"/>
    <w:rsid w:val="00064E05"/>
    <w:rsid w:val="000D729C"/>
    <w:rsid w:val="00145CD7"/>
    <w:rsid w:val="001811DC"/>
    <w:rsid w:val="001D204D"/>
    <w:rsid w:val="001F2F33"/>
    <w:rsid w:val="00216657"/>
    <w:rsid w:val="00276E11"/>
    <w:rsid w:val="002A72CC"/>
    <w:rsid w:val="002E3180"/>
    <w:rsid w:val="00344EC1"/>
    <w:rsid w:val="00483B40"/>
    <w:rsid w:val="004D0EA9"/>
    <w:rsid w:val="004D4AEF"/>
    <w:rsid w:val="004E01C4"/>
    <w:rsid w:val="00562AD8"/>
    <w:rsid w:val="00587C5C"/>
    <w:rsid w:val="005A7BDE"/>
    <w:rsid w:val="005D30D8"/>
    <w:rsid w:val="00600B9D"/>
    <w:rsid w:val="006A0A6E"/>
    <w:rsid w:val="006F28CE"/>
    <w:rsid w:val="007423F6"/>
    <w:rsid w:val="00807B50"/>
    <w:rsid w:val="008362CE"/>
    <w:rsid w:val="0085743A"/>
    <w:rsid w:val="008666A4"/>
    <w:rsid w:val="0093093E"/>
    <w:rsid w:val="00964E3B"/>
    <w:rsid w:val="009B3C32"/>
    <w:rsid w:val="009F4CCE"/>
    <w:rsid w:val="00A11FAF"/>
    <w:rsid w:val="00A3290E"/>
    <w:rsid w:val="00A40415"/>
    <w:rsid w:val="00A65EEB"/>
    <w:rsid w:val="00AB7252"/>
    <w:rsid w:val="00BB132F"/>
    <w:rsid w:val="00BE518E"/>
    <w:rsid w:val="00C359A4"/>
    <w:rsid w:val="00C403E6"/>
    <w:rsid w:val="00CA71A3"/>
    <w:rsid w:val="00CE0ED9"/>
    <w:rsid w:val="00D1776E"/>
    <w:rsid w:val="00D3795A"/>
    <w:rsid w:val="00D847AD"/>
    <w:rsid w:val="00E3634C"/>
    <w:rsid w:val="00E45926"/>
    <w:rsid w:val="00EB74D8"/>
    <w:rsid w:val="00EE75BC"/>
    <w:rsid w:val="00F037B1"/>
    <w:rsid w:val="00F7635D"/>
    <w:rsid w:val="00F87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6B3F1-F1E6-44B2-B33B-0FF3990D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EC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E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8307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Karolina Grzybowska</cp:lastModifiedBy>
  <cp:revision>2</cp:revision>
  <dcterms:created xsi:type="dcterms:W3CDTF">2022-03-02T13:38:00Z</dcterms:created>
  <dcterms:modified xsi:type="dcterms:W3CDTF">2022-03-02T13:38:00Z</dcterms:modified>
</cp:coreProperties>
</file>