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80C" w:rsidRDefault="006725A6">
      <w:pPr>
        <w:pStyle w:val="TitleStyle"/>
      </w:pPr>
      <w:bookmarkStart w:id="0" w:name="_GoBack"/>
      <w:bookmarkEnd w:id="0"/>
      <w:r>
        <w:t>Zmiana rozporządzenia w sprawie domów pomocy społecznej.</w:t>
      </w:r>
    </w:p>
    <w:p w:rsidR="00CE380C" w:rsidRDefault="006725A6">
      <w:pPr>
        <w:pStyle w:val="NormalStyle"/>
      </w:pPr>
      <w:r>
        <w:t>Dz.U.2023.2355 z dnia 2023.10.31</w:t>
      </w:r>
    </w:p>
    <w:p w:rsidR="00CE380C" w:rsidRDefault="006725A6">
      <w:pPr>
        <w:pStyle w:val="NormalStyle"/>
      </w:pPr>
      <w:r>
        <w:t>Status: Akt jednorazowy</w:t>
      </w:r>
    </w:p>
    <w:p w:rsidR="00CE380C" w:rsidRDefault="006725A6">
      <w:pPr>
        <w:pStyle w:val="NormalStyle"/>
      </w:pPr>
      <w:r>
        <w:t>Wersja od: 31 października 2023r.</w:t>
      </w:r>
    </w:p>
    <w:p w:rsidR="00CE380C" w:rsidRDefault="006725A6">
      <w:pPr>
        <w:spacing w:after="0"/>
      </w:pPr>
      <w:r>
        <w:br/>
      </w:r>
    </w:p>
    <w:p w:rsidR="00CE380C" w:rsidRDefault="006725A6">
      <w:pPr>
        <w:spacing w:after="0"/>
      </w:pPr>
      <w:r>
        <w:rPr>
          <w:b/>
          <w:color w:val="000000"/>
        </w:rPr>
        <w:t>Wejście w życie:</w:t>
      </w:r>
    </w:p>
    <w:p w:rsidR="00CE380C" w:rsidRDefault="006725A6">
      <w:pPr>
        <w:spacing w:after="150"/>
      </w:pPr>
      <w:r>
        <w:rPr>
          <w:color w:val="000000"/>
        </w:rPr>
        <w:t>1 listopada 2023 r.</w:t>
      </w:r>
    </w:p>
    <w:p w:rsidR="00CE380C" w:rsidRDefault="00CE380C">
      <w:pPr>
        <w:spacing w:after="0"/>
      </w:pPr>
    </w:p>
    <w:p w:rsidR="00CE380C" w:rsidRDefault="00CE380C">
      <w:pPr>
        <w:numPr>
          <w:ilvl w:val="0"/>
          <w:numId w:val="1"/>
        </w:numPr>
        <w:spacing w:after="0"/>
      </w:pPr>
    </w:p>
    <w:p w:rsidR="00CE380C" w:rsidRDefault="006725A6">
      <w:pPr>
        <w:spacing w:after="0"/>
      </w:pPr>
      <w:r>
        <w:br/>
      </w:r>
    </w:p>
    <w:p w:rsidR="00CE380C" w:rsidRDefault="006725A6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CE380C" w:rsidRDefault="006725A6">
      <w:pPr>
        <w:spacing w:after="0"/>
        <w:jc w:val="center"/>
      </w:pPr>
      <w:r>
        <w:rPr>
          <w:b/>
          <w:color w:val="000000"/>
        </w:rPr>
        <w:t xml:space="preserve">MINISTRA RODZINY I POLITYKI SPOŁECZNEJ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CE380C" w:rsidRDefault="006725A6">
      <w:pPr>
        <w:spacing w:before="80" w:after="0"/>
        <w:jc w:val="center"/>
      </w:pPr>
      <w:r>
        <w:rPr>
          <w:b/>
          <w:color w:val="000000"/>
        </w:rPr>
        <w:t>z dnia 27 października 2023 r.</w:t>
      </w:r>
    </w:p>
    <w:p w:rsidR="00CE380C" w:rsidRDefault="006725A6">
      <w:pPr>
        <w:spacing w:before="80" w:after="0"/>
        <w:jc w:val="center"/>
      </w:pPr>
      <w:r>
        <w:rPr>
          <w:b/>
          <w:color w:val="000000"/>
        </w:rPr>
        <w:t>zmieniające rozporządzenie w sprawie domów pomocy społecznej</w:t>
      </w:r>
    </w:p>
    <w:p w:rsidR="00CE380C" w:rsidRDefault="006725A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57 ust. 8</w:t>
      </w:r>
      <w:r>
        <w:rPr>
          <w:color w:val="000000"/>
        </w:rPr>
        <w:t xml:space="preserve"> ustawy z dnia 12 marca 2004 r. o pomocy społecznej (Dz. U. z 2023 r. poz. 901, 1693 i 1938) zarządza się, co następuje:</w:t>
      </w:r>
    </w:p>
    <w:p w:rsidR="00CE380C" w:rsidRDefault="006725A6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 xml:space="preserve">W </w:t>
      </w:r>
      <w:r>
        <w:rPr>
          <w:color w:val="1B1B1B"/>
        </w:rPr>
        <w:t>rozporządzeniu</w:t>
      </w:r>
      <w:r>
        <w:rPr>
          <w:color w:val="000000"/>
        </w:rPr>
        <w:t xml:space="preserve"> Ministra Pracy i Polityki Społecznej z dnia 23 sierpnia 2012 r. w sprawie domów pomocy społecznej (Dz. U. z 2018 r. poz. 734) wprowadza się następujące zmiany:</w:t>
      </w:r>
    </w:p>
    <w:p w:rsidR="00CE380C" w:rsidRDefault="006725A6">
      <w:pPr>
        <w:spacing w:before="26" w:after="0"/>
        <w:ind w:left="373"/>
      </w:pPr>
      <w:r>
        <w:rPr>
          <w:color w:val="000000"/>
        </w:rPr>
        <w:t>1) po § 5 dodaje się § 5a w brzmieniu: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"§ 5a. 1. Usługi wsparcia krótkoterminowego realizowane w formie pobytu całodobowego zapewniają standard usług: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1) w zakresie potrzeb bytowych, o których mowa w § 5 ust. 1 pkt 1 lit. a, b i d,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2) opiekuńczych, o których mowa w § 5 ust. 1 pkt 2 lit. a i b,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3) wspomagających, o których mowa w § 5 ust. 1 pkt 3 lit. a-c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- odpowiedni dla danego typu domu, z uwzględnieniem indywidualnych potrzeb osób korzystających z tej formy wsparcia.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2. Usługi wsparcia krótkoterminowego realizowane w formie dziennej zapewniają standard usług wsparcia krótkoterminowego realizowanego w formie pobytu całodobowego, z wyłączeniem usług w zakresie potrzeb bytowych, o których mowa w § 5 ust. 1 pkt 1 lit. a.";</w:t>
      </w:r>
    </w:p>
    <w:p w:rsidR="00CE380C" w:rsidRDefault="006725A6">
      <w:pPr>
        <w:spacing w:before="26" w:after="0"/>
        <w:ind w:left="373"/>
      </w:pPr>
      <w:r>
        <w:rPr>
          <w:color w:val="000000"/>
        </w:rPr>
        <w:t xml:space="preserve">2) w </w:t>
      </w:r>
      <w:r>
        <w:rPr>
          <w:color w:val="1B1B1B"/>
        </w:rPr>
        <w:t>§ 6</w:t>
      </w:r>
      <w:r>
        <w:rPr>
          <w:color w:val="000000"/>
        </w:rPr>
        <w:t>:</w:t>
      </w:r>
    </w:p>
    <w:p w:rsidR="00CE380C" w:rsidRDefault="006725A6">
      <w:pPr>
        <w:spacing w:after="0"/>
        <w:ind w:left="746"/>
      </w:pPr>
      <w:r>
        <w:rPr>
          <w:color w:val="000000"/>
        </w:rPr>
        <w:t>a) w ust. 1:</w:t>
      </w:r>
    </w:p>
    <w:p w:rsidR="00CE380C" w:rsidRDefault="006725A6">
      <w:pPr>
        <w:spacing w:after="0"/>
        <w:ind w:left="746"/>
      </w:pPr>
      <w:r>
        <w:rPr>
          <w:color w:val="000000"/>
        </w:rPr>
        <w:t>– w pkt 1 lit. c otrzymuje brzmienie: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"c) budynek jest wyposażony w: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 xml:space="preserve">– system </w:t>
      </w:r>
      <w:proofErr w:type="spellStart"/>
      <w:r>
        <w:rPr>
          <w:color w:val="000000"/>
        </w:rPr>
        <w:t>przyzywowo</w:t>
      </w:r>
      <w:proofErr w:type="spellEnd"/>
      <w:r>
        <w:rPr>
          <w:color w:val="000000"/>
        </w:rPr>
        <w:t>-alarmowy,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lastRenderedPageBreak/>
        <w:t>– system sygnalizacji pożarowej, który nie musi być połączony z obiektem komendy Państwowej Straży Pożarnej lub innym obiektem, wskazanym przez właściwego miejscowo komendanta powiatowego (miejskiego) Państwowej Straży Pożarnej, ",</w:t>
      </w:r>
    </w:p>
    <w:p w:rsidR="00CE380C" w:rsidRDefault="006725A6">
      <w:pPr>
        <w:spacing w:after="0"/>
        <w:ind w:left="746"/>
      </w:pPr>
      <w:r>
        <w:rPr>
          <w:color w:val="000000"/>
        </w:rPr>
        <w:t>– po pkt 1 dodaje się pkt 1a w brzmieniu: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"1a) w budynku jest umieszczona tablica ogłoszeń, znajdująca się w widocznym miejscu, zawierająca informacje dotyczące: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a) typu domu,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b) nazwy podmiotu prowadzącego dom lub imienia i nazwiska osoby prowadzącej dom pomocy społecznej,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c) numeru domu w rejestrze domów pomocy społecznej,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d) numerów alarmowych,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e) danych teleadresowych organów, właściwych miejscowo instytucji i organizacji działających w zakresie wolności i praw człowieka oraz instytucji kontrolnych, w szczególności: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– Rzecznika Praw Obywatelskich,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– Rzecznika Praw Pacjenta,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– państwowego powiatowego inspektora sanitarnego,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– właściwego do spraw pomocy społecznej wydziału urzędu wojewódzkiego,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– właściwego ze względu na miejsce położenia domu ośrodka pomocy społecznej,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– prokuratury rejonowej,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– sądu opiekuńczego;",</w:t>
      </w:r>
    </w:p>
    <w:p w:rsidR="00CE380C" w:rsidRDefault="006725A6">
      <w:pPr>
        <w:spacing w:after="0"/>
        <w:ind w:left="746"/>
      </w:pPr>
      <w:r>
        <w:rPr>
          <w:color w:val="000000"/>
        </w:rPr>
        <w:t>– w pkt 2 lit. d otrzymuje brzmienie: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"d) gabinet przedmedycznej pomocy doraźnej, ",</w:t>
      </w:r>
    </w:p>
    <w:p w:rsidR="00CE380C" w:rsidRDefault="006725A6">
      <w:pPr>
        <w:spacing w:after="0"/>
        <w:ind w:left="746"/>
      </w:pPr>
      <w:r>
        <w:rPr>
          <w:color w:val="000000"/>
        </w:rPr>
        <w:t>– po pkt 3a dodaje się pkt 3b w brzmieniu: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"3b) dyrektor domu w uzasadnionych przypadkach decyduje o konieczności odstępstwa od norm wskazanych w pkt 3 lit. c;",</w:t>
      </w:r>
    </w:p>
    <w:p w:rsidR="00CE380C" w:rsidRDefault="006725A6">
      <w:pPr>
        <w:spacing w:after="0"/>
        <w:ind w:left="746"/>
      </w:pPr>
      <w:r>
        <w:rPr>
          <w:color w:val="000000"/>
        </w:rPr>
        <w:t>– w pkt 6 lit. a otrzymuje brzmienie: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"a) mieszkańcom domu zapewnia się co najmniej 3 posiłki dziennie, w tym jeden gorący, a w przypadku domów, o których mowa w art. 56 pkt 5 ustawy, co najmniej 4 posiłki dziennie, w tym jeden gorący, ",</w:t>
      </w:r>
    </w:p>
    <w:p w:rsidR="00CE380C" w:rsidRDefault="006725A6">
      <w:pPr>
        <w:spacing w:after="0"/>
        <w:ind w:left="746"/>
      </w:pPr>
      <w:r>
        <w:rPr>
          <w:color w:val="000000"/>
        </w:rPr>
        <w:t>b) po ust. 1 dodaje się ust. 1a i 1b w brzmieniu: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 xml:space="preserve">"1a. Przepis ust. 1 pkt 1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 stanowi przepis przeciwpożarowy w rozumieniu ustawy z dnia 24 sierpnia 1991 r. o ochronie przeciwpożarowej (Dz. U. z 2022 r. poz. 2057 oraz z 2023 r. poz. 1088 i 1560).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 xml:space="preserve">1b. W przypadku budynku domu pomocy społecznej przeznaczonego dla nie więcej niż 10 mieszkańców, w którym personel domu jest stale obecny, dopuszcza się jego wyposażenie w autonomiczne czujki dymu zamiast w system sygnalizacji pożarowej, o którym mowa w ust. 1 pkt 1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drugie. Autonomiczne czujki dymu powinny obejmować wszystkie pomieszczenia, z wyjątkiem pomieszczeń niewymagających ochrony za pomocą automatycznego wykrywania pożaru - z uwagi na niskie ryzyko pożarowe.",</w:t>
      </w:r>
    </w:p>
    <w:p w:rsidR="00CE380C" w:rsidRDefault="006725A6">
      <w:pPr>
        <w:spacing w:after="0"/>
        <w:ind w:left="746"/>
      </w:pPr>
      <w:r>
        <w:rPr>
          <w:color w:val="000000"/>
        </w:rPr>
        <w:t>c) w ust. 2:</w:t>
      </w:r>
    </w:p>
    <w:p w:rsidR="00CE380C" w:rsidRDefault="006725A6">
      <w:pPr>
        <w:spacing w:after="0"/>
        <w:ind w:left="746"/>
      </w:pPr>
      <w:r>
        <w:rPr>
          <w:color w:val="000000"/>
        </w:rPr>
        <w:lastRenderedPageBreak/>
        <w:t>– w pkt 2 lit. a otrzymuje brzmienie: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"a) w art. 56 pkt 3-5 i 7 ustawy - również z psychiatrą lub lekarzem w trakcie specjalizacji w dziedzinie psychiatrii, ",</w:t>
      </w:r>
    </w:p>
    <w:p w:rsidR="00CE380C" w:rsidRDefault="006725A6">
      <w:pPr>
        <w:spacing w:after="0"/>
        <w:ind w:left="746"/>
      </w:pPr>
      <w:r>
        <w:rPr>
          <w:color w:val="000000"/>
        </w:rPr>
        <w:t>– w pkt 3 część wspólna otrzymuje brzmienie: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 xml:space="preserve">"– przy czym przy ustalaniu wskaźników zatrudnienia uwzględnia się również wolontariuszy, stażystów, praktykantów oraz osoby odbywające służbę zastępczą w domu, a także osoby wykonujące pracę na podstawie umów cywilnoprawnych, jeżeli pracują bezpośrednio z mieszkańcami domu; przy wyliczaniu wskaźnika udział tych osób nie może przekroczyć 20% ogólnej liczby osób zatrudnionych w zespole </w:t>
      </w:r>
      <w:proofErr w:type="spellStart"/>
      <w:r>
        <w:rPr>
          <w:color w:val="000000"/>
        </w:rPr>
        <w:t>terapeutyczno</w:t>
      </w:r>
      <w:proofErr w:type="spellEnd"/>
      <w:r>
        <w:rPr>
          <w:color w:val="000000"/>
        </w:rPr>
        <w:t xml:space="preserve"> - opiekuńczym, a także pracowników pierwszego kontaktu zatrudnionych na stanowiskach administracyjnych lub obsługi, w wymiarze proporcjonalnym do czasu, w jakim koordynują działania wynikające z indywidualnego planu wsparcia mieszkańca domu;",</w:t>
      </w:r>
    </w:p>
    <w:p w:rsidR="00CE380C" w:rsidRDefault="006725A6">
      <w:pPr>
        <w:spacing w:after="0"/>
        <w:ind w:left="746"/>
      </w:pPr>
      <w:r>
        <w:rPr>
          <w:color w:val="000000"/>
        </w:rPr>
        <w:t>– po pkt 4 dodaje się pkt 4a w brzmieniu:</w:t>
      </w:r>
    </w:p>
    <w:p w:rsidR="00CE380C" w:rsidRDefault="006725A6">
      <w:pPr>
        <w:spacing w:before="25" w:after="0"/>
        <w:ind w:left="746"/>
        <w:jc w:val="both"/>
      </w:pPr>
      <w:r>
        <w:rPr>
          <w:color w:val="000000"/>
        </w:rPr>
        <w:t>"4a) ukończenie przez pracowników zespołu terapeutyczno-opiekuńczego szkolenia z zakresu udzielania pierwszej pomocy przedmedycznej zorganizowanego przez dyrektora domu;";</w:t>
      </w:r>
    </w:p>
    <w:p w:rsidR="00CE380C" w:rsidRDefault="006725A6">
      <w:pPr>
        <w:spacing w:before="26" w:after="0"/>
        <w:ind w:left="373"/>
      </w:pPr>
      <w:r>
        <w:rPr>
          <w:color w:val="000000"/>
        </w:rPr>
        <w:t>3) po § 6 dodaje się § 6a w brzmieniu: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"§ 6a. 1. Świadczenie przez dom usług wsparcia krótkoterminowego wymaga wydzielenia: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1) pokoi mieszkalnych - w przypadku świadczenia usług w formie pobytu całodobowego;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2) pomieszczeń domu - w przypadku świadczenia usług wsparcia w formie dziennej.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2. Pomieszczenia do świadczenia usług wsparcia krótkoterminowego oraz dostęp do nich są pozbawione barier architektonicznych.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3. Dom, realizując usługi wsparcia krótkoterminowego w formie pobytu całodobowego, zapewnia warunki, o których mowa w § 6 ust. 1 pkt 3-5, z wyłączeniem pkt 4 lit. d.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4. Dom, realizując usługi wsparcia krótkoterminowego w formie dziennej, zapewnia następujące pomieszczenia, odrębne od pomieszczeń przeznaczonych do świadczenia usług wsparcia krótkoterminowego w formie pobytu całodobowego, jak również pomieszczeń przeznaczonych dla mieszkańców domu: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1) ogólnodostępne, wyposażone w stoły i krzesła lub kanapy oraz fotele, pełniące funkcję sali spotkań, a także jadalni, o powierzchni co najmniej 4 m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na jedną osobę;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2) umożliwiające odpoczynek i wyposażone w miejsca do leżenia;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3) pełniące funkcję szatni dla osób korzystających z usług wsparcia krótkoterminowego w formie dziennej, z indywidualnymi szafkami, w liczbie adekwatnej do liczby miejsc przeznaczonych na świadczenie usług wsparcia krótkoterminowego;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4) co najmniej dwie toalety wraz z umywalkami, dostosowane do potrzeb osób niepełnosprawnych, osobno dla kobiet i mężczyzn, przy czym jedna toaleta jest przeznaczona dla nie więcej niż 10 osób.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5. Dom, realizując usługi wsparcia krótkoterminowego, zapewnia uczestnikom możliwość korzystania z pomieszczeń ogólnodostępnych dla mieszkańców domu, w szczególności: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1) pomieszczeń do terapii i rehabilitacji,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lastRenderedPageBreak/>
        <w:t>2) łazienki wyposażonej co najmniej w prysznic i umywalkę, umiejscowionej poza pomieszczeniami związanymi z pokojami mieszkalnymi,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3) biblioteki lub punktu bibliotecznego,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4) miejsca kultu religijnego zgodnego z wyznaniem osoby korzystającej z usług wsparcia krótkoterminowego, jeżeli nie ma ona możliwości uczestniczenia w nabożeństwach poza domem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- o ile korzystanie z tych pomieszczeń nie wpłynie negatywnie na dostępność tych pomieszczeń dla mieszkańców domu.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6. Osobom korzystającym z usług wsparcia krótkoterminowego: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1) w formie pobytu całodobowego zapewnia się co najmniej 3 posiłki dziennie, w tym jeden gorący, oraz napoje; w zakresie wyżywienia i organizacji posiłków stosuje się § 6 ust. 1 pkt 6 lit. b-f;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2) w formie dziennej zapewnia się co najmniej 2 posiłki dziennie, w tym jeden gorący oraz napoje; w zakresie wyżywienia i organizacji posiłków stosuje się § 6 ust. 1 pkt 6 lit. b i f.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7. Wskaźnik zatrudnienia pracowników świadczących usługi wsparcia krótkoterminowego wynosi w przeliczeniu na pełny wymiar czasu pracy: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1) nie mniej niż 0,4 na jedną osobę korzystającą z usług wsparcia krótkoterminowego w formie pobytu całodobowego;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2) nie mniej niż 0,2 na jedną osobę korzystającą z usług wsparcia krótkoterminowego w formie dziennej.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8. Wskaźnik zatrudnienia, o którym mowa w ust. 7, dotyczy osób, które w sposób bezpośredni świadczą opiekę lub realizują usługi terapeutyczne na rzecz osób korzystających z usług wsparcia krótkoterminowego.";</w:t>
      </w:r>
    </w:p>
    <w:p w:rsidR="00CE380C" w:rsidRDefault="006725A6">
      <w:pPr>
        <w:spacing w:before="26" w:after="0"/>
        <w:ind w:left="373"/>
      </w:pPr>
      <w:r>
        <w:rPr>
          <w:color w:val="000000"/>
        </w:rPr>
        <w:t xml:space="preserve">4) w </w:t>
      </w:r>
      <w:r>
        <w:rPr>
          <w:color w:val="1B1B1B"/>
        </w:rPr>
        <w:t>§ 12</w:t>
      </w:r>
      <w:r>
        <w:rPr>
          <w:color w:val="000000"/>
        </w:rPr>
        <w:t xml:space="preserve"> po ust. 3 dodaje się ust. 4 i 5 w brzmieniu: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"4. Dyrektor domu lub osoba przez niego wyznaczona przeprowadza rozmowę z osobą, która będzie korzystać z usług wsparcia krótkoterminowego oraz opiekunem na co dzień sprawującym opiekę nad tą osobą, podczas której ustala jej aktualną sytuację zdrowotną i rodzinną, odnotowuje zmiany zaistniałe w jej sytuacji od momentu złożenia wniosku oraz ustala warunki pobytu uwzględniające potrzeby i oczekiwania osoby korzystającej ze wsparcia, a także informuje o zasadach i zakresie świadczonych usług.</w:t>
      </w:r>
    </w:p>
    <w:p w:rsidR="00CE380C" w:rsidRDefault="006725A6">
      <w:pPr>
        <w:spacing w:before="25" w:after="0"/>
        <w:ind w:left="373"/>
        <w:jc w:val="both"/>
      </w:pPr>
      <w:r>
        <w:rPr>
          <w:color w:val="000000"/>
        </w:rPr>
        <w:t>5. Dyrektor domu lub osoba przez niego wyznaczona dokumentuje przebieg pobytu osób korzystających z usług wsparcia krótkoterminowego, w szczególności zakres udzielonego wsparcia.";</w:t>
      </w:r>
    </w:p>
    <w:p w:rsidR="00CE380C" w:rsidRDefault="006725A6">
      <w:pPr>
        <w:spacing w:before="26" w:after="0"/>
        <w:ind w:left="373"/>
      </w:pPr>
      <w:r>
        <w:rPr>
          <w:color w:val="000000"/>
        </w:rPr>
        <w:t xml:space="preserve">5) </w:t>
      </w:r>
      <w:r>
        <w:rPr>
          <w:color w:val="1B1B1B"/>
        </w:rPr>
        <w:t>załącznik</w:t>
      </w:r>
      <w:r>
        <w:rPr>
          <w:color w:val="000000"/>
        </w:rPr>
        <w:t xml:space="preserve"> do rozporządzenia otrzymuje brzmienie określone w załączniku do niniejszego rozporządzenia.</w:t>
      </w:r>
    </w:p>
    <w:p w:rsidR="00CE380C" w:rsidRDefault="006725A6">
      <w:pPr>
        <w:spacing w:before="26" w:after="240"/>
      </w:pPr>
      <w:r>
        <w:rPr>
          <w:b/>
          <w:color w:val="000000"/>
        </w:rPr>
        <w:t xml:space="preserve">§ 2. </w:t>
      </w:r>
      <w:r>
        <w:rPr>
          <w:color w:val="000000"/>
        </w:rPr>
        <w:t xml:space="preserve">Ukończenie przez pracowników zespołu terapeutyczno-opiekuńczego zorganizowanego przez dyrektora domu szkolenia z zakresu udzielania pierwszej pomocy przedmedycznej, o którym mowa w </w:t>
      </w:r>
      <w:r>
        <w:rPr>
          <w:color w:val="1B1B1B"/>
        </w:rPr>
        <w:t>§ 6 ust. 2 pkt 4a</w:t>
      </w:r>
      <w:r>
        <w:rPr>
          <w:color w:val="000000"/>
        </w:rPr>
        <w:t xml:space="preserve"> rozporządzenia zmienianego w § 1 w brzmieniu nadanym niniejszym rozporządzeniem, nastąpi nie później niż w terminie 6 miesięcy od dnia wejścia w życie niniejszego rozporządzenia.</w:t>
      </w:r>
    </w:p>
    <w:p w:rsidR="00CE380C" w:rsidRDefault="006725A6">
      <w:pPr>
        <w:spacing w:before="26" w:after="0"/>
      </w:pPr>
      <w:r>
        <w:rPr>
          <w:b/>
          <w:color w:val="000000"/>
        </w:rPr>
        <w:t xml:space="preserve">§ 3. </w:t>
      </w:r>
    </w:p>
    <w:p w:rsidR="00CE380C" w:rsidRDefault="006725A6">
      <w:pPr>
        <w:spacing w:before="26" w:after="0"/>
      </w:pPr>
      <w:r>
        <w:rPr>
          <w:color w:val="000000"/>
        </w:rPr>
        <w:lastRenderedPageBreak/>
        <w:t xml:space="preserve">1. Podmioty posiadające zezwolenie na prowadzenie domu pomocy społecznej w dniu wejścia w życie niniejszego rozporządzenia dostosują domy do wymogów określonych w </w:t>
      </w:r>
      <w:r>
        <w:rPr>
          <w:color w:val="1B1B1B"/>
        </w:rPr>
        <w:t xml:space="preserve">§ 6 ust. 1 pkt 1 lit. c </w:t>
      </w:r>
      <w:proofErr w:type="spellStart"/>
      <w:r>
        <w:rPr>
          <w:color w:val="1B1B1B"/>
        </w:rPr>
        <w:t>tiret</w:t>
      </w:r>
      <w:proofErr w:type="spellEnd"/>
      <w:r>
        <w:rPr>
          <w:color w:val="000000"/>
        </w:rPr>
        <w:t xml:space="preserve"> drugie oraz w </w:t>
      </w:r>
      <w:r>
        <w:rPr>
          <w:color w:val="1B1B1B"/>
        </w:rPr>
        <w:t>§ 6 ust. 1b</w:t>
      </w:r>
      <w:r>
        <w:rPr>
          <w:color w:val="000000"/>
        </w:rPr>
        <w:t xml:space="preserve"> rozporządzenia zmienianego w § 1 w brzmieniu nadanym niniejszym rozporządzeniem nie później niż do dnia 31 grudnia 2024 r.</w:t>
      </w:r>
    </w:p>
    <w:p w:rsidR="00CE380C" w:rsidRDefault="006725A6">
      <w:pPr>
        <w:spacing w:before="26" w:after="0"/>
      </w:pPr>
      <w:r>
        <w:rPr>
          <w:color w:val="000000"/>
        </w:rPr>
        <w:t xml:space="preserve">2. Przepis ust. 1 stosuje się odpowiednio do podmiotów prowadzących domy pomocy społecznej na podstawie zezwoleń na prowadzenie domu pomocy społecznej wydanych zgodnie z </w:t>
      </w:r>
      <w:r>
        <w:rPr>
          <w:color w:val="1B1B1B"/>
        </w:rPr>
        <w:t>art. 11</w:t>
      </w:r>
      <w:r>
        <w:rPr>
          <w:color w:val="000000"/>
        </w:rPr>
        <w:t xml:space="preserve"> ustawy z dnia 28 lipca 2023 r. o zmianie ustawy o pomocy społecznej oraz niektórych innych ustaw (Dz. U. poz. 1693).</w:t>
      </w:r>
    </w:p>
    <w:p w:rsidR="00CE380C" w:rsidRDefault="006725A6">
      <w:pPr>
        <w:spacing w:before="26" w:after="240"/>
      </w:pPr>
      <w:r>
        <w:rPr>
          <w:b/>
          <w:color w:val="000000"/>
        </w:rPr>
        <w:t xml:space="preserve">§ 4. </w:t>
      </w:r>
      <w:r>
        <w:rPr>
          <w:color w:val="000000"/>
        </w:rPr>
        <w:t>Rozporządzenie wchodzi w życie z dniem 1 listopada 2023 r.</w:t>
      </w:r>
    </w:p>
    <w:p w:rsidR="00CE380C" w:rsidRDefault="006725A6">
      <w:pPr>
        <w:spacing w:before="169" w:after="0"/>
        <w:jc w:val="center"/>
      </w:pPr>
      <w:r>
        <w:rPr>
          <w:b/>
          <w:color w:val="000000"/>
        </w:rPr>
        <w:t>ZAŁĄCZNIK</w:t>
      </w:r>
    </w:p>
    <w:p w:rsidR="00CE380C" w:rsidRDefault="006725A6">
      <w:pPr>
        <w:spacing w:after="0"/>
        <w:jc w:val="center"/>
      </w:pPr>
      <w:r>
        <w:rPr>
          <w:color w:val="000000"/>
        </w:rPr>
        <w:t>WZÓR</w:t>
      </w:r>
    </w:p>
    <w:p w:rsidR="00CE380C" w:rsidRDefault="006725A6">
      <w:pPr>
        <w:spacing w:before="25" w:after="0"/>
        <w:jc w:val="center"/>
      </w:pPr>
      <w:r>
        <w:rPr>
          <w:b/>
          <w:color w:val="000000"/>
        </w:rPr>
        <w:t>WNIOSEK O WYDANIE ZEZWOLENIA NA PROWADZENIE DOMU POMOCY SPOŁECZNEJ</w:t>
      </w:r>
    </w:p>
    <w:p w:rsidR="00CE380C" w:rsidRDefault="006725A6">
      <w:pPr>
        <w:spacing w:before="25" w:after="0"/>
      </w:pPr>
      <w:r>
        <w:rPr>
          <w:color w:val="1B1B1B"/>
        </w:rPr>
        <w:t>wzór</w:t>
      </w:r>
    </w:p>
    <w:p w:rsidR="00CE380C" w:rsidRDefault="006725A6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Minister Rodziny i Polityki Społecznej kieruje działem administracji rządowej - zabezpieczenie społeczne, na podstawie </w:t>
      </w:r>
      <w:r>
        <w:rPr>
          <w:color w:val="1B1B1B"/>
        </w:rPr>
        <w:t>§ 1 ust. 2 pkt 2</w:t>
      </w:r>
      <w:r>
        <w:rPr>
          <w:color w:val="000000"/>
        </w:rPr>
        <w:t xml:space="preserve"> rozporządzenia Prezesa Rady Ministrów z dnia 6 października 2020 r. w sprawie szczegółowego zakresu działania Ministra Rodziny i Polityki Społecznej (Dz. U. z 2022 r. poz. 416).</w:t>
      </w:r>
    </w:p>
    <w:sectPr w:rsidR="00CE380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A043E"/>
    <w:multiLevelType w:val="multilevel"/>
    <w:tmpl w:val="BDC0013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0C"/>
    <w:rsid w:val="00122593"/>
    <w:rsid w:val="006725A6"/>
    <w:rsid w:val="00C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DD10-DD5E-452B-9F4C-4528BB4A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Mucińska</dc:creator>
  <cp:lastModifiedBy>Anna Regulska</cp:lastModifiedBy>
  <cp:revision>2</cp:revision>
  <dcterms:created xsi:type="dcterms:W3CDTF">2023-12-12T13:55:00Z</dcterms:created>
  <dcterms:modified xsi:type="dcterms:W3CDTF">2023-12-12T13:55:00Z</dcterms:modified>
</cp:coreProperties>
</file>