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 w:rsidR="009E5DEE"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Skoda </w:t>
      </w:r>
      <w:proofErr w:type="spellStart"/>
      <w:r w:rsidR="009E5DEE">
        <w:rPr>
          <w:rFonts w:ascii="Times New Roman" w:hAnsi="Times New Roman" w:cs="Times New Roman"/>
          <w:b/>
          <w:sz w:val="24"/>
          <w:szCs w:val="24"/>
        </w:rPr>
        <w:t>Superb</w:t>
      </w:r>
      <w:proofErr w:type="spellEnd"/>
      <w:r w:rsidR="009E5DEE">
        <w:rPr>
          <w:rFonts w:ascii="Times New Roman" w:hAnsi="Times New Roman" w:cs="Times New Roman"/>
          <w:b/>
          <w:sz w:val="24"/>
          <w:szCs w:val="24"/>
        </w:rPr>
        <w:t xml:space="preserve"> II 2.0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5DEE">
        <w:rPr>
          <w:rFonts w:ascii="Times New Roman" w:hAnsi="Times New Roman" w:cs="Times New Roman"/>
          <w:b/>
          <w:sz w:val="24"/>
          <w:szCs w:val="24"/>
        </w:rPr>
        <w:t>1</w:t>
      </w:r>
      <w:r w:rsidRPr="003E1410">
        <w:rPr>
          <w:rFonts w:ascii="Times New Roman" w:hAnsi="Times New Roman" w:cs="Times New Roman"/>
          <w:b/>
          <w:sz w:val="24"/>
          <w:szCs w:val="24"/>
        </w:rPr>
        <w:t>2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 TMBAH93T6D9022450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 w:rsidR="009E5DEE">
        <w:rPr>
          <w:rFonts w:ascii="Times New Roman" w:hAnsi="Times New Roman" w:cs="Times New Roman"/>
          <w:b/>
          <w:sz w:val="24"/>
          <w:szCs w:val="24"/>
        </w:rPr>
        <w:t>0712T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93" w:rsidRDefault="00BF4693" w:rsidP="006E4960">
      <w:pPr>
        <w:spacing w:after="0" w:line="240" w:lineRule="auto"/>
      </w:pPr>
      <w:r>
        <w:separator/>
      </w:r>
    </w:p>
  </w:endnote>
  <w:endnote w:type="continuationSeparator" w:id="0">
    <w:p w:rsidR="00BF4693" w:rsidRDefault="00BF4693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BF4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93" w:rsidRDefault="00BF4693" w:rsidP="006E4960">
      <w:pPr>
        <w:spacing w:after="0" w:line="240" w:lineRule="auto"/>
      </w:pPr>
      <w:r>
        <w:separator/>
      </w:r>
    </w:p>
  </w:footnote>
  <w:footnote w:type="continuationSeparator" w:id="0">
    <w:p w:rsidR="00BF4693" w:rsidRDefault="00BF4693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01F2C"/>
    <w:rsid w:val="00323131"/>
    <w:rsid w:val="00394F23"/>
    <w:rsid w:val="003E1410"/>
    <w:rsid w:val="004258F9"/>
    <w:rsid w:val="006216F2"/>
    <w:rsid w:val="00643F52"/>
    <w:rsid w:val="00654A6E"/>
    <w:rsid w:val="006E4960"/>
    <w:rsid w:val="0072349A"/>
    <w:rsid w:val="008A5CDD"/>
    <w:rsid w:val="009756D8"/>
    <w:rsid w:val="00996665"/>
    <w:rsid w:val="009D6719"/>
    <w:rsid w:val="009E5DEE"/>
    <w:rsid w:val="00BF4693"/>
    <w:rsid w:val="00D01037"/>
    <w:rsid w:val="00D124DE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2024-12-09T12:15:00Z</dcterms:created>
  <dcterms:modified xsi:type="dcterms:W3CDTF">2024-12-09T12:15:00Z</dcterms:modified>
</cp:coreProperties>
</file>